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body>
    <w:p w:rsidR="00B7760F" w:rsidP="008C6D6A" w:rsidRDefault="00EB4041" w14:paraId="063F088A" w14:textId="77777777">
      <w:pPr>
        <w:pStyle w:val="DocSubTitle"/>
        <w:rPr>
          <w:b/>
          <w:bCs/>
          <w:sz w:val="32"/>
          <w:szCs w:val="32"/>
        </w:rPr>
      </w:pPr>
      <w:r w:rsidRPr="522E6C59">
        <w:rPr>
          <w:b/>
          <w:bCs/>
          <w:sz w:val="32"/>
          <w:szCs w:val="32"/>
        </w:rPr>
        <w:t xml:space="preserve">Rapid Literature Review: </w:t>
      </w:r>
      <w:r w:rsidRPr="00B7760F" w:rsidR="00B7760F">
        <w:rPr>
          <w:b/>
          <w:bCs/>
          <w:sz w:val="32"/>
          <w:szCs w:val="32"/>
        </w:rPr>
        <w:t xml:space="preserve">Health Inequalities within a Local Area </w:t>
      </w:r>
    </w:p>
    <w:p w:rsidRPr="002A251C" w:rsidR="00753C2C" w:rsidP="008C6D6A" w:rsidRDefault="00EB4041" w14:paraId="61AC8256" w14:textId="68E076EB">
      <w:pPr>
        <w:pStyle w:val="DocSubTitle"/>
        <w:rPr>
          <w:b/>
          <w:bCs/>
        </w:rPr>
      </w:pPr>
      <w:r w:rsidRPr="002A251C">
        <w:rPr>
          <w:b/>
          <w:bCs/>
          <w:noProof/>
        </w:rPr>
        <w:t>Care Quality Commission</w:t>
      </w:r>
    </w:p>
    <w:p w:rsidRPr="00C921E5" w:rsidR="005F4CD7" w:rsidP="00366C32" w:rsidRDefault="00233435" w14:paraId="3210FA01" w14:textId="080BABD0">
      <w:pPr>
        <w:pStyle w:val="DocDate"/>
        <w:rPr>
          <w:color w:val="auto"/>
        </w:rPr>
      </w:pPr>
      <w:r w:rsidRPr="00C921E5">
        <w:rPr>
          <w:color w:val="auto"/>
        </w:rPr>
        <w:fldChar w:fldCharType="begin"/>
      </w:r>
      <w:r w:rsidRPr="00C921E5">
        <w:rPr>
          <w:color w:val="auto"/>
        </w:rPr>
        <w:instrText xml:space="preserve"> IF </w:instrText>
      </w:r>
      <w:r w:rsidRPr="00C921E5">
        <w:rPr>
          <w:color w:val="auto"/>
        </w:rPr>
        <w:fldChar w:fldCharType="begin"/>
      </w:r>
      <w:r w:rsidRPr="00C921E5">
        <w:rPr>
          <w:color w:val="auto"/>
        </w:rPr>
        <w:instrText xml:space="preserve"> DOCVARIABLE  DocDate  \* MERGEFORMAT </w:instrText>
      </w:r>
      <w:r w:rsidRPr="00C921E5">
        <w:rPr>
          <w:color w:val="auto"/>
        </w:rPr>
        <w:fldChar w:fldCharType="separate"/>
      </w:r>
      <w:r w:rsidRPr="00C921E5">
        <w:rPr>
          <w:b/>
          <w:bCs/>
          <w:color w:val="auto"/>
          <w:lang w:val="en-US"/>
        </w:rPr>
        <w:instrText>16 December 2022</w:instrText>
      </w:r>
      <w:r w:rsidRPr="00C921E5">
        <w:rPr>
          <w:b/>
          <w:bCs/>
          <w:color w:val="auto"/>
          <w:lang w:val="en-US"/>
        </w:rPr>
        <w:fldChar w:fldCharType="end"/>
      </w:r>
      <w:r w:rsidRPr="00C921E5">
        <w:rPr>
          <w:color w:val="auto"/>
        </w:rPr>
        <w:instrText xml:space="preserve"> = "Error! No document variable supplied." " " </w:instrText>
      </w:r>
      <w:r w:rsidRPr="00C921E5">
        <w:rPr>
          <w:color w:val="auto"/>
        </w:rPr>
        <w:fldChar w:fldCharType="begin"/>
      </w:r>
      <w:r w:rsidRPr="00C921E5">
        <w:rPr>
          <w:color w:val="auto"/>
        </w:rPr>
        <w:instrText xml:space="preserve"> DOCVARIABLE  DocDate  \* MERGEFORMAT </w:instrText>
      </w:r>
      <w:r w:rsidRPr="00C921E5">
        <w:rPr>
          <w:color w:val="auto"/>
        </w:rPr>
        <w:fldChar w:fldCharType="separate"/>
      </w:r>
      <w:r w:rsidRPr="00C921E5">
        <w:rPr>
          <w:color w:val="auto"/>
        </w:rPr>
        <w:instrText>16 December 2022</w:instrText>
      </w:r>
      <w:r w:rsidRPr="00C921E5">
        <w:rPr>
          <w:color w:val="auto"/>
        </w:rPr>
        <w:fldChar w:fldCharType="end"/>
      </w:r>
      <w:r w:rsidRPr="00C921E5">
        <w:rPr>
          <w:color w:val="auto"/>
        </w:rPr>
        <w:instrText xml:space="preserve"> \* MERGEFORMAT </w:instrText>
      </w:r>
      <w:r w:rsidRPr="00C921E5">
        <w:rPr>
          <w:color w:val="auto"/>
        </w:rPr>
        <w:fldChar w:fldCharType="separate"/>
      </w:r>
      <w:r>
        <w:rPr>
          <w:noProof/>
          <w:color w:val="auto"/>
        </w:rPr>
        <w:t>October</w:t>
      </w:r>
      <w:r w:rsidRPr="00C921E5">
        <w:rPr>
          <w:noProof/>
          <w:color w:val="auto"/>
        </w:rPr>
        <w:t xml:space="preserve"> 2023</w:t>
      </w:r>
      <w:r w:rsidRPr="00C921E5">
        <w:rPr>
          <w:color w:val="auto"/>
        </w:rPr>
        <w:fldChar w:fldCharType="end"/>
      </w:r>
    </w:p>
    <w:p w:rsidRPr="00ED7151" w:rsidR="008C6D6A" w:rsidP="005F4CD7" w:rsidRDefault="008C6D6A" w14:paraId="5053CD42" w14:textId="77777777">
      <w:pPr>
        <w:sectPr w:rsidRPr="00ED7151" w:rsidR="008C6D6A" w:rsidSect="0051579F">
          <w:headerReference w:type="even" r:id="rId11"/>
          <w:headerReference w:type="default" r:id="rId12"/>
          <w:footerReference w:type="even" r:id="rId13"/>
          <w:footerReference w:type="default" r:id="rId14"/>
          <w:headerReference w:type="first" r:id="rId15"/>
          <w:footerReference w:type="first" r:id="rId16"/>
          <w:pgSz w:w="11906" w:h="16838" w:orient="portrait" w:code="9"/>
          <w:pgMar w:top="3629" w:right="624" w:bottom="1134" w:left="624" w:header="624" w:footer="510" w:gutter="0"/>
          <w:cols w:space="708"/>
          <w:titlePg/>
          <w:docGrid w:linePitch="360"/>
        </w:sectPr>
      </w:pPr>
    </w:p>
    <w:p w:rsidRPr="00ED7151" w:rsidR="003C516F" w:rsidP="001A2D09" w:rsidRDefault="000203B7" w14:paraId="39F62F19" w14:textId="1B88CFF2">
      <w:pPr>
        <w:pStyle w:val="Heading1ExecSummPage"/>
      </w:pPr>
      <w:r w:rsidRPr="00ED7151">
        <w:t>Executive Summary</w:t>
      </w:r>
    </w:p>
    <w:p w:rsidR="004A26B4" w:rsidP="0056330D" w:rsidRDefault="71AF8922" w14:paraId="6B43CFC4" w14:textId="04EB8DF1">
      <w:pPr>
        <w:pStyle w:val="Heading4"/>
        <w:spacing w:after="200"/>
        <w:rPr>
          <w:rFonts w:eastAsia="Arial" w:cs="Arial"/>
          <w:szCs w:val="24"/>
        </w:rPr>
      </w:pPr>
      <w:r w:rsidRPr="67095979">
        <w:rPr>
          <w:rFonts w:eastAsia="Arial" w:cs="Arial"/>
          <w:szCs w:val="24"/>
        </w:rPr>
        <w:t>Introduction and background</w:t>
      </w:r>
    </w:p>
    <w:p w:rsidRPr="00EC0502" w:rsidR="0056330D" w:rsidP="00EC0502" w:rsidRDefault="00AA0F02" w14:paraId="323BCAFC" w14:textId="7C63B663">
      <w:pPr>
        <w:spacing w:after="120"/>
        <w:rPr>
          <w:rFonts w:eastAsia="Arial" w:cs="Arial"/>
          <w:szCs w:val="24"/>
        </w:rPr>
      </w:pPr>
      <w:r>
        <w:rPr>
          <w:rFonts w:eastAsia="Arial" w:cs="Arial"/>
          <w:szCs w:val="24"/>
        </w:rPr>
        <w:t xml:space="preserve">In </w:t>
      </w:r>
      <w:r w:rsidRPr="67095979">
        <w:rPr>
          <w:rFonts w:eastAsia="Arial" w:cs="Arial"/>
          <w:szCs w:val="24"/>
        </w:rPr>
        <w:t>March 2023</w:t>
      </w:r>
      <w:r>
        <w:rPr>
          <w:rFonts w:eastAsia="Arial" w:cs="Arial"/>
          <w:szCs w:val="24"/>
        </w:rPr>
        <w:t>, C</w:t>
      </w:r>
      <w:r w:rsidRPr="67095979">
        <w:rPr>
          <w:rFonts w:eastAsia="Arial" w:cs="Arial"/>
          <w:szCs w:val="24"/>
        </w:rPr>
        <w:t xml:space="preserve">are Quality Commission (CQC) </w:t>
      </w:r>
      <w:r>
        <w:rPr>
          <w:rFonts w:eastAsia="Arial" w:cs="Arial"/>
          <w:szCs w:val="24"/>
        </w:rPr>
        <w:t xml:space="preserve">commissioned </w:t>
      </w:r>
      <w:r w:rsidRPr="67095979" w:rsidR="71AF8922">
        <w:rPr>
          <w:rFonts w:eastAsia="Arial" w:cs="Arial"/>
          <w:szCs w:val="24"/>
        </w:rPr>
        <w:t xml:space="preserve">RSM UK Consulting LLP (RSM) along with Professor Rosalind Raine at </w:t>
      </w:r>
      <w:r w:rsidR="00EB566C">
        <w:rPr>
          <w:rFonts w:eastAsia="Arial" w:cs="Arial"/>
          <w:szCs w:val="24"/>
        </w:rPr>
        <w:t>University College London (</w:t>
      </w:r>
      <w:r w:rsidRPr="67095979" w:rsidR="71AF8922">
        <w:rPr>
          <w:rFonts w:eastAsia="Arial" w:cs="Arial"/>
          <w:szCs w:val="24"/>
        </w:rPr>
        <w:t>UCL</w:t>
      </w:r>
      <w:r w:rsidR="00EB566C">
        <w:rPr>
          <w:rFonts w:eastAsia="Arial" w:cs="Arial"/>
          <w:szCs w:val="24"/>
        </w:rPr>
        <w:t>)</w:t>
      </w:r>
      <w:r w:rsidRPr="67095979" w:rsidR="71AF8922">
        <w:rPr>
          <w:rFonts w:eastAsia="Arial" w:cs="Arial"/>
          <w:szCs w:val="24"/>
        </w:rPr>
        <w:t xml:space="preserve"> and the University of Birmingham Library Services to conduct a rapid literature review into addressing health inequalities within a local area. </w:t>
      </w:r>
      <w:r w:rsidR="0056330D">
        <w:t xml:space="preserve">Health inequalities have been defined </w:t>
      </w:r>
      <w:r w:rsidR="00941C00">
        <w:t xml:space="preserve">by </w:t>
      </w:r>
      <w:r w:rsidR="00D663A4">
        <w:t>the</w:t>
      </w:r>
      <w:r w:rsidR="00AD1457">
        <w:t xml:space="preserve"> King’s Fund</w:t>
      </w:r>
      <w:r w:rsidRPr="00EE0E4C" w:rsidR="00941C00">
        <w:rPr>
          <w:rFonts w:cs="Arial"/>
          <w:szCs w:val="24"/>
        </w:rPr>
        <w:t xml:space="preserve"> </w:t>
      </w:r>
      <w:r w:rsidR="0056330D">
        <w:t xml:space="preserve">as: </w:t>
      </w:r>
    </w:p>
    <w:p w:rsidRPr="00EF1109" w:rsidR="00AD1457" w:rsidP="00EC0502" w:rsidRDefault="00AD1457" w14:paraId="2D0E0F5F" w14:textId="26437B17">
      <w:pPr>
        <w:pStyle w:val="CommentText"/>
        <w:spacing w:after="120"/>
        <w:ind w:firstLine="720"/>
        <w:rPr>
          <w:i/>
          <w:iCs/>
          <w:color w:val="141414"/>
        </w:rPr>
      </w:pPr>
      <w:r>
        <w:rPr>
          <w:i/>
          <w:iCs/>
        </w:rPr>
        <w:t>“</w:t>
      </w:r>
      <w:r w:rsidRPr="00AD1457">
        <w:rPr>
          <w:i/>
          <w:iCs/>
        </w:rPr>
        <w:t>Health inequalities are avoidable, unfair and systematic differences in health between different groups of people</w:t>
      </w:r>
      <w:r>
        <w:rPr>
          <w:i/>
          <w:iCs/>
          <w:color w:val="141414"/>
        </w:rPr>
        <w:t>. […] the term is also used to refer to differences in the care that people receive and the opportunities that they have to lead healthy lives – both of which can contribute to their health status. Health inequalities can therefore involve differences in:</w:t>
      </w:r>
    </w:p>
    <w:p w:rsidR="00AD1457" w:rsidP="00AF10D4" w:rsidRDefault="00AD1457" w14:paraId="0F70872E" w14:textId="258866C9">
      <w:pPr>
        <w:pStyle w:val="CommentText"/>
        <w:numPr>
          <w:ilvl w:val="0"/>
          <w:numId w:val="26"/>
        </w:numPr>
        <w:spacing w:after="120"/>
      </w:pPr>
      <w:r>
        <w:rPr>
          <w:i/>
          <w:iCs/>
          <w:color w:val="141414"/>
        </w:rPr>
        <w:t>health status, for example, life expectancy;</w:t>
      </w:r>
    </w:p>
    <w:p w:rsidR="00AD1457" w:rsidP="00AF10D4" w:rsidRDefault="00AD1457" w14:paraId="6AFEB71E" w14:textId="13669200">
      <w:pPr>
        <w:pStyle w:val="CommentText"/>
        <w:numPr>
          <w:ilvl w:val="0"/>
          <w:numId w:val="26"/>
        </w:numPr>
        <w:spacing w:after="120"/>
      </w:pPr>
      <w:r>
        <w:rPr>
          <w:i/>
          <w:iCs/>
          <w:color w:val="141414"/>
        </w:rPr>
        <w:t>access to care, for example, availability of given services;</w:t>
      </w:r>
    </w:p>
    <w:p w:rsidR="00AD1457" w:rsidP="00AF10D4" w:rsidRDefault="00AD1457" w14:paraId="48C3D7B5" w14:textId="3D1A6B09">
      <w:pPr>
        <w:pStyle w:val="CommentText"/>
        <w:numPr>
          <w:ilvl w:val="0"/>
          <w:numId w:val="26"/>
        </w:numPr>
        <w:spacing w:after="120"/>
      </w:pPr>
      <w:r>
        <w:rPr>
          <w:i/>
          <w:iCs/>
          <w:color w:val="141414"/>
        </w:rPr>
        <w:t>quality and experience of care, for example, levels of patient satisfaction;</w:t>
      </w:r>
    </w:p>
    <w:p w:rsidR="00AD1457" w:rsidP="00AF10D4" w:rsidRDefault="00AD1457" w14:paraId="1C37247B" w14:textId="46C3ABC7">
      <w:pPr>
        <w:pStyle w:val="CommentText"/>
        <w:numPr>
          <w:ilvl w:val="0"/>
          <w:numId w:val="26"/>
        </w:numPr>
        <w:spacing w:after="120"/>
      </w:pPr>
      <w:r>
        <w:rPr>
          <w:i/>
          <w:iCs/>
          <w:color w:val="141414"/>
        </w:rPr>
        <w:t xml:space="preserve">behavioural risks to health, for example, smoking rates; and </w:t>
      </w:r>
    </w:p>
    <w:p w:rsidRPr="00AD1457" w:rsidR="0056330D" w:rsidP="00AF10D4" w:rsidRDefault="00AD1457" w14:paraId="3AE6EA1B" w14:textId="09734191">
      <w:pPr>
        <w:pStyle w:val="CommentText"/>
        <w:numPr>
          <w:ilvl w:val="0"/>
          <w:numId w:val="26"/>
        </w:numPr>
      </w:pPr>
      <w:r>
        <w:rPr>
          <w:i/>
          <w:iCs/>
          <w:color w:val="141414"/>
        </w:rPr>
        <w:t>wider determinants of health, for example, quality of h</w:t>
      </w:r>
      <w:r w:rsidRPr="00386F83">
        <w:rPr>
          <w:i/>
          <w:iCs/>
          <w:color w:val="141414"/>
        </w:rPr>
        <w:t>ousing</w:t>
      </w:r>
      <w:r w:rsidRPr="00386F83">
        <w:rPr>
          <w:rFonts w:cs="Arial"/>
          <w:i/>
          <w:iCs/>
          <w:color w:val="0B0C0C"/>
        </w:rPr>
        <w:t>”</w:t>
      </w:r>
      <w:r w:rsidRPr="00EF1109" w:rsidR="00CA3732">
        <w:rPr>
          <w:rFonts w:cs="Arial"/>
          <w:i/>
          <w:iCs/>
          <w:color w:val="0B0C0C"/>
        </w:rPr>
        <w:t>.</w:t>
      </w:r>
      <w:r w:rsidRPr="00EF1109" w:rsidR="00CA3732">
        <w:rPr>
          <w:rFonts w:cs="Arial"/>
          <w:color w:val="0B0C0C"/>
          <w:vertAlign w:val="superscript"/>
        </w:rPr>
        <w:t>1</w:t>
      </w:r>
    </w:p>
    <w:p w:rsidR="0056330D" w:rsidP="0056330D" w:rsidRDefault="00EC2190" w14:paraId="0E8FEB4B" w14:textId="3152EAFA">
      <w:pPr>
        <w:rPr>
          <w:rFonts w:eastAsia="Arial" w:cs="Arial"/>
          <w:szCs w:val="24"/>
        </w:rPr>
      </w:pPr>
      <w:r w:rsidRPr="00EC2190">
        <w:t>They are driven by the social, economic, structural and environmental conditions in which a person lives, as well as unequal access, experience and outcomes from healthcare and wider determinants. There is also interplay between all these factors and equality characteristics.</w:t>
      </w:r>
      <w:r>
        <w:t xml:space="preserve"> </w:t>
      </w:r>
      <w:r w:rsidR="00A8743D">
        <w:t xml:space="preserve">All these </w:t>
      </w:r>
      <w:r w:rsidR="0056330D">
        <w:t xml:space="preserve">can </w:t>
      </w:r>
      <w:r w:rsidRPr="0076106B" w:rsidR="0056330D">
        <w:t xml:space="preserve">influence </w:t>
      </w:r>
      <w:r w:rsidR="00A8743D">
        <w:t xml:space="preserve">the </w:t>
      </w:r>
      <w:r w:rsidRPr="0076106B" w:rsidR="0056330D">
        <w:t>opportunit</w:t>
      </w:r>
      <w:r w:rsidR="0056330D">
        <w:t>y</w:t>
      </w:r>
      <w:r w:rsidRPr="0076106B" w:rsidR="0056330D">
        <w:t xml:space="preserve"> for good mental and physical health</w:t>
      </w:r>
      <w:r w:rsidR="0056330D">
        <w:t xml:space="preserve"> – and </w:t>
      </w:r>
      <w:r w:rsidRPr="0076106B" w:rsidR="0056330D">
        <w:t xml:space="preserve">are systematic, unfair and </w:t>
      </w:r>
      <w:r w:rsidR="0056330D">
        <w:t xml:space="preserve">often </w:t>
      </w:r>
      <w:r w:rsidRPr="0076106B" w:rsidR="0056330D">
        <w:t>avoidable.</w:t>
      </w:r>
    </w:p>
    <w:p w:rsidR="71AF8922" w:rsidRDefault="71AF8922" w14:paraId="0F5DF0AA" w14:textId="687D4904">
      <w:pPr>
        <w:rPr>
          <w:rFonts w:eastAsia="Arial" w:cs="Arial"/>
          <w:szCs w:val="24"/>
        </w:rPr>
      </w:pPr>
      <w:r w:rsidRPr="67095979">
        <w:rPr>
          <w:rFonts w:eastAsia="Arial" w:cs="Arial"/>
          <w:szCs w:val="24"/>
        </w:rPr>
        <w:t>The Health and Social Care Act 2022 states that local Integrated Care Systems (ICS) are responsible for tackling health inequalities within their local areas. However, many different organisations (eg Sustainability Transformation Partnerships, Strategic Health Authorities) had played a part in addressing health inequalities in the past 20 years, providing an opportunity to consolidate lessons learned.</w:t>
      </w:r>
    </w:p>
    <w:p w:rsidR="71AF8922" w:rsidP="0056330D" w:rsidRDefault="71AF8922" w14:paraId="380B809E" w14:textId="5FC1676A">
      <w:pPr>
        <w:pStyle w:val="Heading4"/>
        <w:spacing w:after="200"/>
        <w:rPr>
          <w:rFonts w:eastAsia="Arial" w:cs="Arial"/>
          <w:szCs w:val="24"/>
        </w:rPr>
      </w:pPr>
      <w:r w:rsidRPr="67095979">
        <w:t>Purpose of this research</w:t>
      </w:r>
    </w:p>
    <w:p w:rsidR="71AF8922" w:rsidRDefault="71AF8922" w14:paraId="52DAD8BB" w14:textId="620BE678">
      <w:pPr>
        <w:rPr>
          <w:rFonts w:eastAsia="Arial" w:cs="Arial"/>
          <w:szCs w:val="24"/>
        </w:rPr>
      </w:pPr>
      <w:r w:rsidRPr="67095979">
        <w:rPr>
          <w:rFonts w:eastAsia="Arial" w:cs="Arial"/>
          <w:szCs w:val="24"/>
        </w:rPr>
        <w:t>According to the Health and Social Care Act 2022, the CQC is required to conduct reviews of ICS</w:t>
      </w:r>
      <w:r w:rsidR="008D1429">
        <w:rPr>
          <w:rFonts w:eastAsia="Arial" w:cs="Arial"/>
          <w:szCs w:val="24"/>
        </w:rPr>
        <w:t>s</w:t>
      </w:r>
      <w:r w:rsidRPr="67095979">
        <w:rPr>
          <w:rFonts w:eastAsia="Arial" w:cs="Arial"/>
          <w:szCs w:val="24"/>
        </w:rPr>
        <w:t xml:space="preserve"> to assess the function of the system in the provision of health and social care. This includes how systems are addressing health inequalities within their local </w:t>
      </w:r>
      <w:r w:rsidR="00D0384C">
        <w:rPr>
          <w:rFonts w:eastAsia="Arial" w:cs="Arial"/>
          <w:szCs w:val="24"/>
        </w:rPr>
        <w:t>area</w:t>
      </w:r>
      <w:r w:rsidRPr="67095979">
        <w:rPr>
          <w:rFonts w:eastAsia="Arial" w:cs="Arial"/>
          <w:szCs w:val="24"/>
        </w:rPr>
        <w:t>.</w:t>
      </w:r>
    </w:p>
    <w:p w:rsidR="00F129DE" w:rsidRDefault="71AF8922" w14:paraId="42037D8B" w14:textId="77777777">
      <w:pPr>
        <w:rPr>
          <w:rFonts w:eastAsia="Arial" w:cs="Arial"/>
          <w:szCs w:val="24"/>
        </w:rPr>
      </w:pPr>
      <w:r w:rsidRPr="67095979">
        <w:rPr>
          <w:rFonts w:eastAsia="Arial" w:cs="Arial"/>
          <w:szCs w:val="24"/>
        </w:rPr>
        <w:t>In 2021, CQC published a new strategy to make regulation more relevant to the way care is delivered</w:t>
      </w:r>
      <w:r w:rsidR="003D70A9">
        <w:rPr>
          <w:rFonts w:eastAsia="Arial" w:cs="Arial"/>
          <w:szCs w:val="24"/>
        </w:rPr>
        <w:t>. T</w:t>
      </w:r>
      <w:r w:rsidRPr="67095979">
        <w:rPr>
          <w:rFonts w:eastAsia="Arial" w:cs="Arial"/>
          <w:szCs w:val="24"/>
        </w:rPr>
        <w:t xml:space="preserve">his </w:t>
      </w:r>
      <w:r w:rsidR="00D0384C">
        <w:rPr>
          <w:rFonts w:eastAsia="Arial" w:cs="Arial"/>
          <w:szCs w:val="24"/>
        </w:rPr>
        <w:t xml:space="preserve">literature </w:t>
      </w:r>
      <w:r w:rsidRPr="67095979">
        <w:rPr>
          <w:rFonts w:eastAsia="Arial" w:cs="Arial"/>
          <w:szCs w:val="24"/>
        </w:rPr>
        <w:t>review seeks to support CQC in the delivery of this strategy by providing a robust evidence base of good practice</w:t>
      </w:r>
      <w:r w:rsidR="003D70A9">
        <w:rPr>
          <w:rFonts w:eastAsia="Arial" w:cs="Arial"/>
          <w:szCs w:val="24"/>
        </w:rPr>
        <w:t xml:space="preserve">, </w:t>
      </w:r>
      <w:r w:rsidRPr="67095979">
        <w:rPr>
          <w:rFonts w:eastAsia="Arial" w:cs="Arial"/>
          <w:szCs w:val="24"/>
        </w:rPr>
        <w:t>strengthen</w:t>
      </w:r>
      <w:r w:rsidR="003D70A9">
        <w:rPr>
          <w:rFonts w:eastAsia="Arial" w:cs="Arial"/>
          <w:szCs w:val="24"/>
        </w:rPr>
        <w:t>ing</w:t>
      </w:r>
      <w:r w:rsidRPr="67095979">
        <w:rPr>
          <w:rFonts w:eastAsia="Arial" w:cs="Arial"/>
          <w:szCs w:val="24"/>
        </w:rPr>
        <w:t xml:space="preserve"> the understanding of local interventions on health inequalities</w:t>
      </w:r>
      <w:r w:rsidR="003D70A9">
        <w:rPr>
          <w:rFonts w:eastAsia="Arial" w:cs="Arial"/>
          <w:szCs w:val="24"/>
        </w:rPr>
        <w:t xml:space="preserve">. It will also </w:t>
      </w:r>
      <w:r w:rsidRPr="67095979">
        <w:rPr>
          <w:rFonts w:eastAsia="Arial" w:cs="Arial"/>
          <w:szCs w:val="24"/>
        </w:rPr>
        <w:t>inform the way CQC assesses ICS</w:t>
      </w:r>
      <w:r w:rsidR="008D1429">
        <w:rPr>
          <w:rFonts w:eastAsia="Arial" w:cs="Arial"/>
          <w:szCs w:val="24"/>
        </w:rPr>
        <w:t>s</w:t>
      </w:r>
      <w:r w:rsidRPr="67095979">
        <w:rPr>
          <w:rFonts w:eastAsia="Arial" w:cs="Arial"/>
          <w:szCs w:val="24"/>
        </w:rPr>
        <w:t xml:space="preserve"> and consider how local systems can reduce health inequalities. </w:t>
      </w:r>
    </w:p>
    <w:p w:rsidR="71AF8922" w:rsidRDefault="00F129DE" w14:paraId="0B423573" w14:textId="32CF498D">
      <w:pPr>
        <w:rPr>
          <w:rFonts w:eastAsia="Arial"/>
        </w:rPr>
      </w:pPr>
      <w:r>
        <w:rPr>
          <w:rFonts w:eastAsia="Arial"/>
        </w:rPr>
        <w:t>The aim of this research is to provide the CQC with an evidence base on what works within local areas in terms of addressing health inequalities. T</w:t>
      </w:r>
      <w:r w:rsidR="000917C4">
        <w:rPr>
          <w:rFonts w:eastAsia="Arial"/>
        </w:rPr>
        <w:t>he</w:t>
      </w:r>
      <w:r w:rsidR="00EC0502">
        <w:rPr>
          <w:rFonts w:eastAsia="Arial"/>
        </w:rPr>
        <w:t xml:space="preserve"> </w:t>
      </w:r>
      <w:r>
        <w:rPr>
          <w:rFonts w:eastAsia="Arial"/>
        </w:rPr>
        <w:t xml:space="preserve">search protocol for this literature </w:t>
      </w:r>
      <w:r w:rsidR="001C23F5">
        <w:rPr>
          <w:rFonts w:eastAsia="Arial"/>
        </w:rPr>
        <w:t xml:space="preserve">review </w:t>
      </w:r>
      <w:r>
        <w:rPr>
          <w:rFonts w:eastAsia="Arial"/>
        </w:rPr>
        <w:t>was designed to be framework / government policy agnostic – to broaden the literature available for extraction.</w:t>
      </w:r>
    </w:p>
    <w:p w:rsidR="71AF8922" w:rsidRDefault="71AF8922" w14:paraId="4F06BBA0" w14:textId="064D099A">
      <w:pPr>
        <w:rPr>
          <w:rFonts w:eastAsia="Arial" w:cs="Arial"/>
          <w:szCs w:val="24"/>
        </w:rPr>
      </w:pPr>
      <w:r w:rsidRPr="67095979">
        <w:rPr>
          <w:rFonts w:eastAsia="Arial" w:cs="Arial"/>
          <w:szCs w:val="24"/>
        </w:rPr>
        <w:t xml:space="preserve">The primary research questions were set by CQC at the outset of the project and covered three key areas related to health inequalities: </w:t>
      </w:r>
    </w:p>
    <w:p w:rsidR="71AF8922" w:rsidP="00AF10D4" w:rsidRDefault="71AF8922" w14:paraId="5737CBD4" w14:textId="0AFD8A19">
      <w:pPr>
        <w:pStyle w:val="ListParagraph"/>
        <w:numPr>
          <w:ilvl w:val="0"/>
          <w:numId w:val="1"/>
        </w:numPr>
        <w:rPr>
          <w:rFonts w:eastAsia="Arial" w:cs="Arial"/>
          <w:szCs w:val="24"/>
        </w:rPr>
      </w:pPr>
      <w:r w:rsidRPr="67095979">
        <w:rPr>
          <w:rFonts w:eastAsia="Arial" w:cs="Arial"/>
          <w:b/>
          <w:bCs/>
          <w:szCs w:val="24"/>
        </w:rPr>
        <w:t xml:space="preserve">Theme 1: </w:t>
      </w:r>
      <w:r w:rsidRPr="67095979">
        <w:rPr>
          <w:rFonts w:eastAsia="Arial" w:cs="Arial"/>
          <w:szCs w:val="24"/>
        </w:rPr>
        <w:t>What are effective ways of identifying local health inequalities or potential health inequalities?</w:t>
      </w:r>
    </w:p>
    <w:p w:rsidR="71AF8922" w:rsidP="00AF10D4" w:rsidRDefault="71AF8922" w14:paraId="1F60E79D" w14:textId="4DB2A510">
      <w:pPr>
        <w:pStyle w:val="ListParagraph"/>
        <w:numPr>
          <w:ilvl w:val="0"/>
          <w:numId w:val="1"/>
        </w:numPr>
        <w:rPr>
          <w:rFonts w:eastAsia="Arial" w:cs="Arial"/>
          <w:szCs w:val="24"/>
        </w:rPr>
      </w:pPr>
      <w:r w:rsidRPr="67095979">
        <w:rPr>
          <w:rFonts w:eastAsia="Arial" w:cs="Arial"/>
          <w:b/>
          <w:bCs/>
          <w:szCs w:val="24"/>
        </w:rPr>
        <w:t xml:space="preserve">Theme 2: </w:t>
      </w:r>
      <w:r w:rsidRPr="67095979">
        <w:rPr>
          <w:rFonts w:eastAsia="Arial" w:cs="Arial"/>
          <w:szCs w:val="24"/>
        </w:rPr>
        <w:t xml:space="preserve">What are the evidence-based interventions/approaches that work to address health inequalities within a local area? </w:t>
      </w:r>
    </w:p>
    <w:p w:rsidR="00D0384C" w:rsidP="00AF10D4" w:rsidRDefault="71AF8922" w14:paraId="4E2EC1CC" w14:textId="77777777">
      <w:pPr>
        <w:pStyle w:val="ListParagraph"/>
        <w:numPr>
          <w:ilvl w:val="0"/>
          <w:numId w:val="1"/>
        </w:numPr>
        <w:rPr>
          <w:rFonts w:eastAsia="Arial" w:cs="Arial"/>
          <w:szCs w:val="24"/>
        </w:rPr>
      </w:pPr>
      <w:r w:rsidRPr="67095979">
        <w:rPr>
          <w:rFonts w:eastAsia="Arial" w:cs="Arial"/>
          <w:b/>
          <w:bCs/>
          <w:szCs w:val="24"/>
        </w:rPr>
        <w:t xml:space="preserve">Theme 3: </w:t>
      </w:r>
      <w:r w:rsidRPr="67095979">
        <w:rPr>
          <w:rFonts w:eastAsia="Arial" w:cs="Arial"/>
          <w:szCs w:val="24"/>
        </w:rPr>
        <w:t>What does successful engagement with local people and communities look like?</w:t>
      </w:r>
    </w:p>
    <w:p w:rsidRPr="00D0384C" w:rsidR="71AF8922" w:rsidP="00D0384C" w:rsidRDefault="71AF8922" w14:paraId="0BFEF5F6" w14:textId="2F58BEAD">
      <w:pPr>
        <w:rPr>
          <w:rFonts w:eastAsia="Arial" w:cs="Arial"/>
          <w:szCs w:val="24"/>
        </w:rPr>
      </w:pPr>
      <w:r w:rsidRPr="00D0384C">
        <w:rPr>
          <w:rFonts w:ascii="Arial Bold" w:hAnsi="Arial Bold" w:eastAsiaTheme="majorEastAsia" w:cstheme="majorBidi"/>
          <w:b/>
          <w:bCs/>
          <w:iCs/>
        </w:rPr>
        <w:t>Methodolog</w:t>
      </w:r>
      <w:r w:rsidR="00D0384C">
        <w:rPr>
          <w:rFonts w:ascii="Arial Bold" w:hAnsi="Arial Bold" w:eastAsiaTheme="majorEastAsia" w:cstheme="majorBidi"/>
          <w:b/>
          <w:bCs/>
          <w:iCs/>
        </w:rPr>
        <w:t>y</w:t>
      </w:r>
    </w:p>
    <w:p w:rsidR="71AF8922" w:rsidRDefault="71AF8922" w14:paraId="3200BE5E" w14:textId="58AB9A7F">
      <w:pPr>
        <w:rPr>
          <w:rFonts w:eastAsia="Arial" w:cs="Arial"/>
          <w:szCs w:val="24"/>
        </w:rPr>
      </w:pPr>
      <w:r w:rsidRPr="67095979">
        <w:rPr>
          <w:rFonts w:eastAsia="Arial" w:cs="Arial"/>
          <w:szCs w:val="24"/>
        </w:rPr>
        <w:t xml:space="preserve">Our review methodology consisted of several stages. Firstly, a search protocol was developed to find </w:t>
      </w:r>
      <w:r w:rsidR="003A19EA">
        <w:rPr>
          <w:rFonts w:eastAsia="Arial" w:cs="Arial"/>
          <w:szCs w:val="24"/>
        </w:rPr>
        <w:t xml:space="preserve">all </w:t>
      </w:r>
      <w:r w:rsidRPr="67095979">
        <w:rPr>
          <w:rFonts w:eastAsia="Arial" w:cs="Arial"/>
          <w:szCs w:val="24"/>
        </w:rPr>
        <w:t xml:space="preserve">relevant peer-reviewed academic literature, as well as grey literature </w:t>
      </w:r>
      <w:r w:rsidR="003A19EA">
        <w:rPr>
          <w:rFonts w:eastAsia="Arial" w:cs="Arial"/>
          <w:szCs w:val="24"/>
        </w:rPr>
        <w:t>publications</w:t>
      </w:r>
      <w:r w:rsidRPr="67095979">
        <w:rPr>
          <w:rFonts w:eastAsia="Arial" w:cs="Arial"/>
          <w:szCs w:val="24"/>
        </w:rPr>
        <w:t xml:space="preserve">. As a result, a longlist of </w:t>
      </w:r>
      <w:r w:rsidR="00F278ED">
        <w:rPr>
          <w:rFonts w:eastAsia="Arial" w:cs="Arial"/>
          <w:szCs w:val="24"/>
        </w:rPr>
        <w:t>1</w:t>
      </w:r>
      <w:r w:rsidRPr="67095979">
        <w:rPr>
          <w:rFonts w:eastAsia="Arial" w:cs="Arial"/>
          <w:szCs w:val="24"/>
        </w:rPr>
        <w:t xml:space="preserve">,415 titles was produced, which was then </w:t>
      </w:r>
      <w:r w:rsidR="0075179D">
        <w:rPr>
          <w:rFonts w:eastAsia="Arial" w:cs="Arial"/>
          <w:szCs w:val="24"/>
        </w:rPr>
        <w:t>rigorously</w:t>
      </w:r>
      <w:r w:rsidRPr="67095979">
        <w:rPr>
          <w:rFonts w:eastAsia="Arial" w:cs="Arial"/>
          <w:szCs w:val="24"/>
        </w:rPr>
        <w:t xml:space="preserve"> screen</w:t>
      </w:r>
      <w:r w:rsidR="0075179D">
        <w:rPr>
          <w:rFonts w:eastAsia="Arial" w:cs="Arial"/>
          <w:szCs w:val="24"/>
        </w:rPr>
        <w:t>ed</w:t>
      </w:r>
      <w:r w:rsidRPr="67095979">
        <w:rPr>
          <w:rFonts w:eastAsia="Arial" w:cs="Arial"/>
          <w:szCs w:val="24"/>
        </w:rPr>
        <w:t xml:space="preserve"> and narrowed down to 87 articles. These were </w:t>
      </w:r>
      <w:r w:rsidR="0075179D">
        <w:rPr>
          <w:rFonts w:eastAsia="Arial" w:cs="Arial"/>
          <w:szCs w:val="24"/>
        </w:rPr>
        <w:t xml:space="preserve">subjected to a </w:t>
      </w:r>
      <w:r w:rsidRPr="67095979">
        <w:rPr>
          <w:rFonts w:eastAsia="Arial" w:cs="Arial"/>
          <w:szCs w:val="24"/>
        </w:rPr>
        <w:t>quality assess</w:t>
      </w:r>
      <w:r w:rsidR="0075179D">
        <w:rPr>
          <w:rFonts w:eastAsia="Arial" w:cs="Arial"/>
          <w:szCs w:val="24"/>
        </w:rPr>
        <w:t>ment</w:t>
      </w:r>
      <w:r w:rsidRPr="67095979">
        <w:rPr>
          <w:rFonts w:eastAsia="Arial" w:cs="Arial"/>
          <w:szCs w:val="24"/>
        </w:rPr>
        <w:t>, with 64 articles</w:t>
      </w:r>
      <w:r w:rsidR="0075179D">
        <w:rPr>
          <w:rFonts w:eastAsia="Arial" w:cs="Arial"/>
          <w:szCs w:val="24"/>
        </w:rPr>
        <w:t xml:space="preserve"> then</w:t>
      </w:r>
      <w:r w:rsidRPr="67095979">
        <w:rPr>
          <w:rFonts w:eastAsia="Arial" w:cs="Arial"/>
          <w:szCs w:val="24"/>
        </w:rPr>
        <w:t xml:space="preserve"> included in the literature review: 46 academic </w:t>
      </w:r>
      <w:r w:rsidR="0075179D">
        <w:rPr>
          <w:rFonts w:eastAsia="Arial" w:cs="Arial"/>
          <w:szCs w:val="24"/>
        </w:rPr>
        <w:t xml:space="preserve">and </w:t>
      </w:r>
      <w:r w:rsidRPr="67095979">
        <w:rPr>
          <w:rFonts w:eastAsia="Arial" w:cs="Arial"/>
          <w:szCs w:val="24"/>
        </w:rPr>
        <w:t>18 grey literature</w:t>
      </w:r>
      <w:r w:rsidR="0075179D">
        <w:rPr>
          <w:rFonts w:eastAsia="Arial" w:cs="Arial"/>
          <w:szCs w:val="24"/>
        </w:rPr>
        <w:t xml:space="preserve"> publications</w:t>
      </w:r>
      <w:r w:rsidRPr="67095979">
        <w:rPr>
          <w:rFonts w:eastAsia="Arial" w:cs="Arial"/>
          <w:szCs w:val="24"/>
        </w:rPr>
        <w:t xml:space="preserve">. Key information was then </w:t>
      </w:r>
      <w:r w:rsidR="0075179D">
        <w:rPr>
          <w:rFonts w:eastAsia="Arial" w:cs="Arial"/>
          <w:szCs w:val="24"/>
        </w:rPr>
        <w:t>extracted and</w:t>
      </w:r>
      <w:r w:rsidRPr="67095979">
        <w:rPr>
          <w:rFonts w:eastAsia="Arial" w:cs="Arial"/>
          <w:szCs w:val="24"/>
        </w:rPr>
        <w:t xml:space="preserve"> mapp</w:t>
      </w:r>
      <w:r w:rsidR="0075179D">
        <w:rPr>
          <w:rFonts w:eastAsia="Arial" w:cs="Arial"/>
          <w:szCs w:val="24"/>
        </w:rPr>
        <w:t>ed in a spreadsheet, including</w:t>
      </w:r>
      <w:r w:rsidRPr="67095979">
        <w:rPr>
          <w:rFonts w:eastAsia="Arial" w:cs="Arial"/>
          <w:szCs w:val="24"/>
        </w:rPr>
        <w:t>: title, author, date, country, study type, the study aims, methods/ evidence base, findings, strengths, and limitations reported in the study, key themes/topics, relevant outcomes, and a quality appraisal. All findings were synthesised in accordance with the primary research questions.</w:t>
      </w:r>
    </w:p>
    <w:p w:rsidR="00985D7A" w:rsidP="00D0384C" w:rsidRDefault="00985D7A" w14:paraId="7C5871A6" w14:textId="77777777">
      <w:pPr>
        <w:pStyle w:val="Heading4"/>
      </w:pPr>
    </w:p>
    <w:p w:rsidR="71AF8922" w:rsidP="00D0384C" w:rsidRDefault="71AF8922" w14:paraId="31C05025" w14:textId="2DAA6103">
      <w:pPr>
        <w:pStyle w:val="Heading4"/>
      </w:pPr>
      <w:r w:rsidRPr="67095979">
        <w:t>Findings from the literature review</w:t>
      </w:r>
      <w:r w:rsidR="00415C25">
        <w:t xml:space="preserve"> and expert panel reflections</w:t>
      </w:r>
    </w:p>
    <w:p w:rsidRPr="00985D7A" w:rsidR="00985D7A" w:rsidP="00985D7A" w:rsidRDefault="00985D7A" w14:paraId="54AB2A65" w14:textId="77777777"/>
    <w:p w:rsidR="00CF2642" w:rsidP="00CF2642" w:rsidRDefault="00CF2642" w14:paraId="74F4E1D9" w14:textId="77777777">
      <w:pPr>
        <w:rPr>
          <w:b/>
          <w:bCs/>
        </w:rPr>
      </w:pPr>
      <w:r>
        <w:rPr>
          <w:b/>
          <w:bCs/>
        </w:rPr>
        <w:t xml:space="preserve">Theme 1: </w:t>
      </w:r>
      <w:r w:rsidRPr="00FF2E4C">
        <w:rPr>
          <w:b/>
          <w:bCs/>
        </w:rPr>
        <w:t>What are effective ways of identifying local health inequalities or potential health inequalities?</w:t>
      </w:r>
      <w:r>
        <w:rPr>
          <w:b/>
          <w:bCs/>
        </w:rPr>
        <w:t xml:space="preserve"> </w:t>
      </w:r>
    </w:p>
    <w:p w:rsidR="00CF2642" w:rsidP="00CF2642" w:rsidRDefault="00CF2642" w14:paraId="7189300D" w14:textId="698805A6">
      <w:r>
        <w:t xml:space="preserve">Given the complexities of local areas and the specific needs of each, unsurprisingly, a range of different methods have been shown to identify health inequalities. These can be segmented into three overarching categories: (i) </w:t>
      </w:r>
      <w:r w:rsidRPr="00CD2A86">
        <w:t>Population statistics, (ii) Combining health data with wider determinants and (iii) using experiential or qualitative data to understand experiences</w:t>
      </w:r>
      <w:r>
        <w:t xml:space="preserve">. </w:t>
      </w:r>
      <w:r w:rsidRPr="00CD15D5">
        <w:rPr>
          <w:szCs w:val="20"/>
        </w:rPr>
        <w:t xml:space="preserve">However, no literature </w:t>
      </w:r>
      <w:r>
        <w:t xml:space="preserve">paid attention to exploring some of the tools that are already being used by systems, for example, the </w:t>
      </w:r>
      <w:r w:rsidR="00233435">
        <w:t>Public Health England (</w:t>
      </w:r>
      <w:r>
        <w:t>PHE</w:t>
      </w:r>
      <w:r w:rsidR="00233435">
        <w:t>)</w:t>
      </w:r>
      <w:r>
        <w:t xml:space="preserve"> framework, and how these could be streamlined or enhanced in their use. </w:t>
      </w:r>
    </w:p>
    <w:p w:rsidRPr="0089037E" w:rsidR="00CF2642" w:rsidP="00CF2642" w:rsidRDefault="00CF2642" w14:paraId="3705440E" w14:textId="77777777">
      <w:r>
        <w:t>A</w:t>
      </w:r>
      <w:r w:rsidRPr="0089037E">
        <w:t xml:space="preserve"> number of considerations were identified which may help to determine what methods a local area may want to use in the identification of health inequalities. These include:</w:t>
      </w:r>
    </w:p>
    <w:p w:rsidRPr="00FE4CB4" w:rsidR="00CF2642" w:rsidP="00CF2642" w:rsidRDefault="00CF2642" w14:paraId="6010A520" w14:textId="77777777">
      <w:pPr>
        <w:pStyle w:val="ListParagraph"/>
        <w:numPr>
          <w:ilvl w:val="0"/>
          <w:numId w:val="35"/>
        </w:numPr>
      </w:pPr>
      <w:r w:rsidRPr="00FE4CB4">
        <w:t xml:space="preserve">Have specific areas of health inequalities been identified?; </w:t>
      </w:r>
    </w:p>
    <w:p w:rsidRPr="00FE4CB4" w:rsidR="00CF2642" w:rsidP="00CF2642" w:rsidRDefault="00CF2642" w14:paraId="799BA6DF" w14:textId="77777777">
      <w:pPr>
        <w:pStyle w:val="ListParagraph"/>
        <w:numPr>
          <w:ilvl w:val="0"/>
          <w:numId w:val="35"/>
        </w:numPr>
      </w:pPr>
      <w:r w:rsidRPr="00FE4CB4">
        <w:t xml:space="preserve">The use of wider determinants of health datasets; and </w:t>
      </w:r>
    </w:p>
    <w:p w:rsidRPr="00FE4CB4" w:rsidR="00CF2642" w:rsidP="00CF2642" w:rsidRDefault="00CF2642" w14:paraId="635DA894" w14:textId="77777777">
      <w:pPr>
        <w:pStyle w:val="ListParagraph"/>
        <w:numPr>
          <w:ilvl w:val="0"/>
          <w:numId w:val="35"/>
        </w:numPr>
      </w:pPr>
      <w:r w:rsidRPr="00FE4CB4">
        <w:t xml:space="preserve">The availability of data </w:t>
      </w:r>
    </w:p>
    <w:p w:rsidR="00CF2642" w:rsidP="00CF2642" w:rsidRDefault="00CF2642" w14:paraId="2E24A034" w14:textId="437537A4">
      <w:r w:rsidRPr="000A671E">
        <w:t xml:space="preserve">Overall, </w:t>
      </w:r>
      <w:r w:rsidR="00E30A48">
        <w:t xml:space="preserve">it is clear that </w:t>
      </w:r>
      <w:r w:rsidRPr="000A671E">
        <w:t xml:space="preserve">there is no “one size fits all” approach and different methods should be selected based on the specific requirements for each local area. </w:t>
      </w:r>
      <w:r>
        <w:t>M</w:t>
      </w:r>
      <w:r w:rsidRPr="000F3C5E">
        <w:t xml:space="preserve">ost </w:t>
      </w:r>
      <w:r w:rsidR="00E30A48">
        <w:t>research</w:t>
      </w:r>
      <w:r w:rsidRPr="000F3C5E">
        <w:t xml:space="preserve"> tend</w:t>
      </w:r>
      <w:r w:rsidR="00EC2190">
        <w:t>s</w:t>
      </w:r>
      <w:r w:rsidRPr="000F3C5E">
        <w:t xml:space="preserve"> to focus on </w:t>
      </w:r>
      <w:r w:rsidR="00E30A48">
        <w:t xml:space="preserve">the </w:t>
      </w:r>
      <w:r>
        <w:t xml:space="preserve">ways of </w:t>
      </w:r>
      <w:r w:rsidRPr="000F3C5E">
        <w:t>identifying inequalities</w:t>
      </w:r>
      <w:r w:rsidR="00E30A48">
        <w:t>,</w:t>
      </w:r>
      <w:r w:rsidRPr="000F3C5E">
        <w:t xml:space="preserve"> </w:t>
      </w:r>
      <w:r>
        <w:t>and present</w:t>
      </w:r>
      <w:r w:rsidR="00EC2190">
        <w:t>s</w:t>
      </w:r>
      <w:r>
        <w:t xml:space="preserve"> limited </w:t>
      </w:r>
      <w:r w:rsidRPr="000115EF">
        <w:t xml:space="preserve">evidence to support the effectiveness of these </w:t>
      </w:r>
      <w:r>
        <w:t>methods</w:t>
      </w:r>
      <w:r w:rsidRPr="000115EF">
        <w:t xml:space="preserve">. </w:t>
      </w:r>
    </w:p>
    <w:p w:rsidR="00CF2642" w:rsidP="00CF2642" w:rsidRDefault="00CF2642" w14:paraId="4E22AE8D" w14:textId="77777777">
      <w:pPr>
        <w:rPr>
          <w:b/>
          <w:bCs/>
        </w:rPr>
      </w:pPr>
      <w:r>
        <w:rPr>
          <w:b/>
          <w:bCs/>
        </w:rPr>
        <w:t xml:space="preserve">Theme 2: </w:t>
      </w:r>
      <w:r w:rsidRPr="004F5A39">
        <w:rPr>
          <w:b/>
          <w:bCs/>
        </w:rPr>
        <w:t xml:space="preserve">What are the evidence-based </w:t>
      </w:r>
      <w:r>
        <w:rPr>
          <w:b/>
          <w:bCs/>
        </w:rPr>
        <w:t>method</w:t>
      </w:r>
      <w:r w:rsidRPr="004F5A39">
        <w:rPr>
          <w:b/>
          <w:bCs/>
        </w:rPr>
        <w:t>s/approaches that work to address health inequalities within a local area?</w:t>
      </w:r>
      <w:r>
        <w:rPr>
          <w:b/>
          <w:bCs/>
        </w:rPr>
        <w:t xml:space="preserve"> </w:t>
      </w:r>
    </w:p>
    <w:p w:rsidR="00CF2642" w:rsidP="00CF2642" w:rsidRDefault="00CF2642" w14:paraId="6D1A4AAD" w14:textId="77777777">
      <w:pPr>
        <w:spacing w:after="120"/>
      </w:pPr>
      <w:r w:rsidRPr="00FE4CB4">
        <w:rPr>
          <w:rFonts w:eastAsia="Calibri" w:cs="Arial"/>
          <w:kern w:val="24"/>
          <w:szCs w:val="24"/>
        </w:rPr>
        <w:t xml:space="preserve">The use of several different approaches that can be used to address health inequalities have been highlighted. The </w:t>
      </w:r>
      <w:r w:rsidRPr="00FE4CB4">
        <w:t xml:space="preserve">overarching approaches identified include: </w:t>
      </w:r>
    </w:p>
    <w:p w:rsidRPr="00884AFE" w:rsidR="00CF2642" w:rsidP="00CF2642" w:rsidRDefault="00CF2642" w14:paraId="5B59E25B" w14:textId="5972B5A9">
      <w:pPr>
        <w:pStyle w:val="ListParagraph"/>
        <w:numPr>
          <w:ilvl w:val="0"/>
          <w:numId w:val="18"/>
        </w:numPr>
        <w:spacing w:after="120"/>
        <w:ind w:left="714" w:hanging="357"/>
        <w:contextualSpacing w:val="0"/>
        <w:rPr>
          <w:rFonts w:cs="Arial"/>
          <w:b/>
          <w:bCs/>
          <w:szCs w:val="24"/>
        </w:rPr>
      </w:pPr>
      <w:r w:rsidRPr="00F62960">
        <w:rPr>
          <w:rFonts w:cs="Arial"/>
          <w:b/>
          <w:bCs/>
          <w:szCs w:val="24"/>
        </w:rPr>
        <w:t xml:space="preserve">Asset-based or </w:t>
      </w:r>
      <w:r>
        <w:rPr>
          <w:rFonts w:cs="Arial"/>
          <w:b/>
          <w:bCs/>
          <w:szCs w:val="24"/>
        </w:rPr>
        <w:t>place</w:t>
      </w:r>
      <w:r w:rsidRPr="00F62960">
        <w:rPr>
          <w:rFonts w:cs="Arial"/>
          <w:b/>
          <w:bCs/>
          <w:szCs w:val="24"/>
        </w:rPr>
        <w:t xml:space="preserve">-based approaches: </w:t>
      </w:r>
      <w:r>
        <w:rPr>
          <w:rFonts w:cs="Arial"/>
          <w:szCs w:val="24"/>
        </w:rPr>
        <w:t>which u</w:t>
      </w:r>
      <w:r w:rsidRPr="00C57987">
        <w:rPr>
          <w:rFonts w:cs="Arial"/>
          <w:szCs w:val="24"/>
        </w:rPr>
        <w:t>se both physical community assets</w:t>
      </w:r>
      <w:r>
        <w:rPr>
          <w:rFonts w:cs="Arial"/>
          <w:szCs w:val="24"/>
        </w:rPr>
        <w:t xml:space="preserve"> (eg community centres, recreation facilities, transport systems, etc.)</w:t>
      </w:r>
      <w:r>
        <w:rPr>
          <w:rFonts w:cs="Arial"/>
          <w:b/>
          <w:bCs/>
          <w:szCs w:val="24"/>
        </w:rPr>
        <w:t xml:space="preserve"> </w:t>
      </w:r>
      <w:r w:rsidRPr="00C57987">
        <w:rPr>
          <w:rFonts w:cs="Arial"/>
          <w:szCs w:val="24"/>
        </w:rPr>
        <w:t xml:space="preserve">and </w:t>
      </w:r>
      <w:r w:rsidRPr="0054518F">
        <w:rPr>
          <w:rFonts w:eastAsia="Arial" w:cs="Arial"/>
          <w:szCs w:val="24"/>
        </w:rPr>
        <w:t>Voluntary Community and Social Enterprise</w:t>
      </w:r>
      <w:r w:rsidRPr="00C57987">
        <w:rPr>
          <w:rFonts w:cs="Arial"/>
          <w:szCs w:val="24"/>
        </w:rPr>
        <w:t xml:space="preserve"> </w:t>
      </w:r>
      <w:r>
        <w:rPr>
          <w:rFonts w:cs="Arial"/>
          <w:szCs w:val="24"/>
        </w:rPr>
        <w:t>(</w:t>
      </w:r>
      <w:r w:rsidRPr="00C57987">
        <w:rPr>
          <w:rFonts w:cs="Arial"/>
          <w:szCs w:val="24"/>
        </w:rPr>
        <w:t>VCSE</w:t>
      </w:r>
      <w:r>
        <w:rPr>
          <w:rFonts w:cs="Arial"/>
          <w:szCs w:val="24"/>
        </w:rPr>
        <w:t>)</w:t>
      </w:r>
      <w:r w:rsidRPr="00C57987">
        <w:rPr>
          <w:rFonts w:cs="Arial"/>
          <w:szCs w:val="24"/>
        </w:rPr>
        <w:t xml:space="preserve"> organisations</w:t>
      </w:r>
      <w:r>
        <w:rPr>
          <w:rFonts w:cs="Arial"/>
          <w:b/>
          <w:bCs/>
          <w:szCs w:val="24"/>
        </w:rPr>
        <w:t xml:space="preserve"> </w:t>
      </w:r>
      <w:r>
        <w:rPr>
          <w:rFonts w:cs="Arial"/>
          <w:szCs w:val="24"/>
        </w:rPr>
        <w:t>to support communities through a range of engagement-based or social-led programmes.</w:t>
      </w:r>
    </w:p>
    <w:p w:rsidRPr="00884AFE" w:rsidR="00CF2642" w:rsidP="00CF2642" w:rsidRDefault="00CF2642" w14:paraId="224DACA1" w14:textId="7DE004BB">
      <w:pPr>
        <w:pStyle w:val="ListParagraph"/>
        <w:numPr>
          <w:ilvl w:val="0"/>
          <w:numId w:val="18"/>
        </w:numPr>
        <w:spacing w:after="120"/>
        <w:ind w:left="714" w:hanging="357"/>
        <w:contextualSpacing w:val="0"/>
        <w:rPr>
          <w:rFonts w:cs="Arial"/>
          <w:b/>
          <w:bCs/>
          <w:szCs w:val="24"/>
        </w:rPr>
      </w:pPr>
      <w:r w:rsidRPr="00884AFE">
        <w:rPr>
          <w:rFonts w:cs="Arial"/>
          <w:b/>
          <w:bCs/>
          <w:szCs w:val="24"/>
        </w:rPr>
        <w:t>Proportionate universalism:</w:t>
      </w:r>
      <w:r w:rsidRPr="00884AFE">
        <w:t xml:space="preserve"> </w:t>
      </w:r>
      <w:r>
        <w:t xml:space="preserve">this is a method of allocating resources to services aimed at reducing health inequalities, with low-level support provided universally and stepped intensity of support for individuals and / or communities based on level of need. </w:t>
      </w:r>
    </w:p>
    <w:p w:rsidRPr="00114DC8" w:rsidR="00CF2642" w:rsidP="00CF2642" w:rsidRDefault="00CF2642" w14:paraId="18E461BA" w14:textId="77777777">
      <w:pPr>
        <w:pStyle w:val="ListParagraph"/>
        <w:numPr>
          <w:ilvl w:val="0"/>
          <w:numId w:val="18"/>
        </w:numPr>
        <w:ind w:left="714" w:hanging="357"/>
        <w:contextualSpacing w:val="0"/>
        <w:rPr>
          <w:rFonts w:cs="Arial"/>
          <w:b/>
          <w:bCs/>
          <w:szCs w:val="24"/>
        </w:rPr>
      </w:pPr>
      <w:r w:rsidRPr="00114DC8">
        <w:rPr>
          <w:rFonts w:cs="Arial"/>
          <w:b/>
          <w:bCs/>
          <w:szCs w:val="24"/>
        </w:rPr>
        <w:t xml:space="preserve">Engagement-based approaches: </w:t>
      </w:r>
      <w:r w:rsidRPr="00114DC8">
        <w:rPr>
          <w:rFonts w:cs="Arial"/>
          <w:szCs w:val="24"/>
        </w:rPr>
        <w:t xml:space="preserve">the use of community navigators (ie local area co-ordinators). Their role is often to co-produce or co-develop tailored methods for either whole communities or individuals as a mechanism of reducing health inequalities. </w:t>
      </w:r>
    </w:p>
    <w:p w:rsidRPr="00FE4CB4" w:rsidR="00CF2642" w:rsidP="00CF2642" w:rsidRDefault="00CF2642" w14:paraId="4779A310" w14:textId="198DF256">
      <w:pPr>
        <w:autoSpaceDE w:val="0"/>
        <w:autoSpaceDN w:val="0"/>
        <w:adjustRightInd w:val="0"/>
        <w:spacing w:line="240" w:lineRule="auto"/>
      </w:pPr>
      <w:r w:rsidRPr="00F512DC">
        <w:t>In terms of the specific methods for addressing health inequalities, a significant proportion of the literature focussed on improving health outcomes more generally (relative to the other areas which can address health inequalities such as prevention, improving access etc.).</w:t>
      </w:r>
      <w:r w:rsidR="00627FAD">
        <w:t xml:space="preserve"> </w:t>
      </w:r>
      <w:r w:rsidRPr="00F512DC">
        <w:t xml:space="preserve">The most popular types </w:t>
      </w:r>
      <w:r w:rsidRPr="00F512DC" w:rsidR="007B599A">
        <w:t>o</w:t>
      </w:r>
      <w:r w:rsidR="007B599A">
        <w:t>f</w:t>
      </w:r>
      <w:r w:rsidRPr="00F512DC" w:rsidR="007B599A">
        <w:t xml:space="preserve"> </w:t>
      </w:r>
      <w:r w:rsidRPr="00F512DC">
        <w:t xml:space="preserve">methods related to improving health outcomes included: </w:t>
      </w:r>
      <w:r w:rsidR="009117F3">
        <w:t>a</w:t>
      </w:r>
      <w:r w:rsidRPr="00F512DC" w:rsidR="009117F3">
        <w:t>dvice</w:t>
      </w:r>
      <w:r w:rsidRPr="00F512DC">
        <w:t xml:space="preserve">, guidance and </w:t>
      </w:r>
      <w:r w:rsidRPr="00FE4CB4">
        <w:t>signposting</w:t>
      </w:r>
      <w:r>
        <w:t>;</w:t>
      </w:r>
      <w:r w:rsidRPr="00FE4CB4">
        <w:t xml:space="preserve"> </w:t>
      </w:r>
      <w:r w:rsidR="009117F3">
        <w:t>t</w:t>
      </w:r>
      <w:r w:rsidRPr="00FE4CB4" w:rsidR="009117F3">
        <w:t xml:space="preserve">raining </w:t>
      </w:r>
      <w:r w:rsidRPr="00FE4CB4">
        <w:t>and education programmes</w:t>
      </w:r>
      <w:r>
        <w:t>;</w:t>
      </w:r>
      <w:r w:rsidRPr="00FE4CB4">
        <w:t xml:space="preserve"> </w:t>
      </w:r>
      <w:r w:rsidR="009117F3">
        <w:t>s</w:t>
      </w:r>
      <w:r w:rsidRPr="00FE4CB4" w:rsidR="009117F3">
        <w:t xml:space="preserve">ocial </w:t>
      </w:r>
      <w:r w:rsidRPr="00FE4CB4">
        <w:t xml:space="preserve">/ </w:t>
      </w:r>
      <w:r w:rsidR="009117F3">
        <w:t>l</w:t>
      </w:r>
      <w:r w:rsidRPr="00FE4CB4" w:rsidR="009117F3">
        <w:t xml:space="preserve">eisure </w:t>
      </w:r>
      <w:r w:rsidRPr="00FE4CB4">
        <w:t>and engagement programmes</w:t>
      </w:r>
      <w:r>
        <w:t>; and</w:t>
      </w:r>
      <w:r w:rsidRPr="00FE4CB4">
        <w:t xml:space="preserve"> </w:t>
      </w:r>
      <w:r w:rsidR="009117F3">
        <w:t>w</w:t>
      </w:r>
      <w:r w:rsidRPr="00FE4CB4" w:rsidR="009117F3">
        <w:t xml:space="preserve">ider </w:t>
      </w:r>
      <w:r w:rsidRPr="00FE4CB4">
        <w:t>system change</w:t>
      </w:r>
      <w:r>
        <w:t>.</w:t>
      </w:r>
    </w:p>
    <w:p w:rsidR="00CF2642" w:rsidP="00CF2642" w:rsidRDefault="00CF2642" w14:paraId="20716F3C" w14:textId="1C1D1263">
      <w:pPr>
        <w:autoSpaceDE w:val="0"/>
        <w:autoSpaceDN w:val="0"/>
        <w:adjustRightInd w:val="0"/>
        <w:spacing w:after="0" w:line="240" w:lineRule="auto"/>
      </w:pPr>
      <w:r w:rsidRPr="00E636B3">
        <w:t xml:space="preserve">Alternative services models </w:t>
      </w:r>
      <w:r w:rsidRPr="008610FD" w:rsidR="006802BA">
        <w:t xml:space="preserve">(ie modified ways of health and care services being delivered to increase the use or access to services, such as extended hours) </w:t>
      </w:r>
      <w:r w:rsidRPr="00E636B3">
        <w:t xml:space="preserve">were also a popular </w:t>
      </w:r>
      <w:r>
        <w:t>method</w:t>
      </w:r>
      <w:r w:rsidRPr="00E636B3">
        <w:t xml:space="preserve"> type for improving access to health and care services. Many of the </w:t>
      </w:r>
      <w:r>
        <w:t>method</w:t>
      </w:r>
      <w:r w:rsidRPr="00E636B3">
        <w:t>s aimed to address the barriers for access</w:t>
      </w:r>
      <w:r>
        <w:t xml:space="preserve">, such as </w:t>
      </w:r>
      <w:r w:rsidRPr="00E636B3">
        <w:t>tele-pharmacy</w:t>
      </w:r>
      <w:r>
        <w:t xml:space="preserve"> </w:t>
      </w:r>
      <w:r w:rsidRPr="00E636B3">
        <w:t>for those living in rural areas</w:t>
      </w:r>
      <w:r w:rsidRPr="00FE4CB4">
        <w:rPr>
          <w:vertAlign w:val="superscript"/>
        </w:rPr>
        <w:t>30</w:t>
      </w:r>
      <w:r>
        <w:t>.</w:t>
      </w:r>
    </w:p>
    <w:p w:rsidRPr="00E636B3" w:rsidR="00CF2642" w:rsidP="00CF2642" w:rsidRDefault="00CF2642" w14:paraId="3AC52325" w14:textId="77777777">
      <w:pPr>
        <w:autoSpaceDE w:val="0"/>
        <w:autoSpaceDN w:val="0"/>
        <w:adjustRightInd w:val="0"/>
        <w:spacing w:after="0" w:line="240" w:lineRule="auto"/>
      </w:pPr>
    </w:p>
    <w:p w:rsidRPr="00E26E5B" w:rsidR="00CF2642" w:rsidP="00CF2642" w:rsidRDefault="00CF2642" w14:paraId="37E20DD2" w14:textId="4FA5A3F9">
      <w:pPr>
        <w:spacing w:after="120"/>
      </w:pPr>
      <w:bookmarkStart w:name="_Hlk150789453" w:id="0"/>
      <w:r w:rsidRPr="00C97D34">
        <w:t>Th</w:t>
      </w:r>
      <w:r w:rsidRPr="00EE1B2E" w:rsidR="00C97D34">
        <w:t>ese</w:t>
      </w:r>
      <w:r w:rsidRPr="00C97D34">
        <w:t xml:space="preserve"> methods</w:t>
      </w:r>
      <w:r w:rsidRPr="00EE1B2E" w:rsidR="00C97D34">
        <w:t xml:space="preserve"> should be tailored </w:t>
      </w:r>
      <w:r w:rsidRPr="00C97D34" w:rsidR="00C97D34">
        <w:t>to meet the needs of the target populations and which health inequalities need to be addressed. Local areas should consider the specificity of the interventions required based on</w:t>
      </w:r>
      <w:bookmarkEnd w:id="0"/>
      <w:r w:rsidRPr="00C97D34" w:rsidR="00C97D34">
        <w:t>:</w:t>
      </w:r>
      <w:r w:rsidRPr="00E26E5B">
        <w:t xml:space="preserve"> </w:t>
      </w:r>
    </w:p>
    <w:p w:rsidRPr="00E26E5B" w:rsidR="00CF2642" w:rsidP="00CF2642" w:rsidRDefault="00CF2642" w14:paraId="763900C9" w14:textId="77777777">
      <w:pPr>
        <w:pStyle w:val="ListParagraph"/>
        <w:numPr>
          <w:ilvl w:val="0"/>
          <w:numId w:val="31"/>
        </w:numPr>
        <w:spacing w:after="120"/>
      </w:pPr>
      <w:r w:rsidRPr="00E26E5B">
        <w:t>their local area population;</w:t>
      </w:r>
    </w:p>
    <w:p w:rsidRPr="00E26E5B" w:rsidR="00CF2642" w:rsidP="00CF2642" w:rsidRDefault="00CF2642" w14:paraId="03E01483" w14:textId="77777777">
      <w:pPr>
        <w:pStyle w:val="ListParagraph"/>
        <w:numPr>
          <w:ilvl w:val="0"/>
          <w:numId w:val="31"/>
        </w:numPr>
        <w:spacing w:after="120"/>
      </w:pPr>
      <w:r w:rsidRPr="00E26E5B">
        <w:t xml:space="preserve">the geographic coverage of these areas; and </w:t>
      </w:r>
    </w:p>
    <w:p w:rsidRPr="00455B5D" w:rsidR="00CF2642" w:rsidP="00CF2642" w:rsidRDefault="00CF2642" w14:paraId="467F91DF" w14:textId="77777777">
      <w:pPr>
        <w:pStyle w:val="ListParagraph"/>
        <w:numPr>
          <w:ilvl w:val="0"/>
          <w:numId w:val="31"/>
        </w:numPr>
      </w:pPr>
      <w:r w:rsidRPr="00E26E5B">
        <w:t>the specificity of other interventions / existing services within the local area.</w:t>
      </w:r>
    </w:p>
    <w:p w:rsidRPr="00FE4CB4" w:rsidR="00CF2642" w:rsidP="00CF2642" w:rsidRDefault="00CF2642" w14:paraId="270BFF44" w14:textId="3F7D7F9C">
      <w:r>
        <w:t>Many</w:t>
      </w:r>
      <w:r w:rsidRPr="00E636B3">
        <w:t xml:space="preserve"> </w:t>
      </w:r>
      <w:r>
        <w:t xml:space="preserve">methods for addressing health inequalities were </w:t>
      </w:r>
      <w:r w:rsidRPr="00E636B3">
        <w:t>also target</w:t>
      </w:r>
      <w:r>
        <w:t>ed</w:t>
      </w:r>
      <w:r w:rsidRPr="00E636B3">
        <w:t xml:space="preserve"> </w:t>
      </w:r>
      <w:r w:rsidR="0056541F">
        <w:t xml:space="preserve">at </w:t>
      </w:r>
      <w:r w:rsidRPr="00E636B3">
        <w:t xml:space="preserve">individuals or communities who were </w:t>
      </w:r>
      <w:r w:rsidRPr="00E636B3">
        <w:rPr>
          <w:rFonts w:cs="Arial"/>
          <w:szCs w:val="24"/>
        </w:rPr>
        <w:t>socio-economically disadvantaged</w:t>
      </w:r>
      <w:r w:rsidRPr="00E636B3">
        <w:t xml:space="preserve">. This was often determined using socio-economic methods such as English Indices of Multiple Deprivation (IMD) and socio-economic status groups. </w:t>
      </w:r>
      <w:r>
        <w:t>Method</w:t>
      </w:r>
      <w:r w:rsidRPr="00E636B3">
        <w:t xml:space="preserve">s </w:t>
      </w:r>
      <w:r>
        <w:t>aimed at addressing health inequalities with</w:t>
      </w:r>
      <w:r w:rsidRPr="00E636B3">
        <w:t>in urban</w:t>
      </w:r>
      <w:r>
        <w:t xml:space="preserve"> or </w:t>
      </w:r>
      <w:r w:rsidRPr="00E636B3">
        <w:t xml:space="preserve">mixed areas were more diverse, with the focus </w:t>
      </w:r>
      <w:r>
        <w:t>method</w:t>
      </w:r>
      <w:r w:rsidRPr="00E636B3">
        <w:t xml:space="preserve">s mainly based on the specific community or the objective of the </w:t>
      </w:r>
      <w:r>
        <w:t>method</w:t>
      </w:r>
      <w:r w:rsidRPr="00E636B3">
        <w:t xml:space="preserve">. Within rural areas, </w:t>
      </w:r>
      <w:r>
        <w:t>method</w:t>
      </w:r>
      <w:r w:rsidRPr="00E636B3">
        <w:t>s were typically focussed on improving access to health and care services, such as issues around transport / travel distances.</w:t>
      </w:r>
    </w:p>
    <w:p w:rsidR="00CF2642" w:rsidP="00CF2642" w:rsidRDefault="00CF2642" w14:paraId="124C92B9" w14:textId="77777777">
      <w:r>
        <w:t>There was limited research that explored the cost-effectiveness and sustainability of these approaches and methods, which would be required to scale these methods – with these two areas being highlighted by the expert panel as fundamental to the effectiveness of methods to address health inequalities in the long-term and should be an area for further research.</w:t>
      </w:r>
    </w:p>
    <w:p w:rsidR="00CF2642" w:rsidP="00CF2642" w:rsidRDefault="00CF2642" w14:paraId="1EA56D78" w14:textId="77777777">
      <w:pPr>
        <w:rPr>
          <w:b/>
          <w:bCs/>
        </w:rPr>
      </w:pPr>
      <w:r w:rsidRPr="00EC0502">
        <w:rPr>
          <w:b/>
          <w:bCs/>
        </w:rPr>
        <w:t>Theme 3: What does successful engagement with local people and communities look like?</w:t>
      </w:r>
    </w:p>
    <w:p w:rsidR="00CF2642" w:rsidP="00CF2642" w:rsidRDefault="00CF2642" w14:paraId="4B655927" w14:textId="77777777">
      <w:pPr>
        <w:spacing w:before="240"/>
        <w:rPr>
          <w:b/>
          <w:bCs/>
        </w:rPr>
      </w:pPr>
      <w:r w:rsidRPr="00CC44B1">
        <w:rPr>
          <w:b/>
          <w:bCs/>
        </w:rPr>
        <w:t>When to engage with local people and communities?</w:t>
      </w:r>
    </w:p>
    <w:p w:rsidR="00CF2642" w:rsidP="00CF2642" w:rsidRDefault="00CF2642" w14:paraId="0A1A0EBA" w14:textId="7D069F87">
      <w:r>
        <w:t xml:space="preserve">The benefits of engaging with local people and communities was shown across the lifecycle of different initiatives. Ensuring that </w:t>
      </w:r>
      <w:r w:rsidRPr="0054363A">
        <w:t xml:space="preserve">the communities targeted </w:t>
      </w:r>
      <w:r>
        <w:t>are included in the design and development were shown to result in successful implementation</w:t>
      </w:r>
      <w:r w:rsidRPr="0054363A">
        <w:t xml:space="preserve">. </w:t>
      </w:r>
    </w:p>
    <w:p w:rsidR="00CF2642" w:rsidP="00CF2642" w:rsidRDefault="00CF2642" w14:paraId="24B3BC14" w14:textId="77777777">
      <w:r w:rsidR="00CF2642">
        <w:rPr/>
        <w:t>Successful engagement included bringing together a</w:t>
      </w:r>
      <w:r w:rsidR="00CF2642">
        <w:rPr/>
        <w:t xml:space="preserve"> range of stakeholder groups </w:t>
      </w:r>
      <w:r w:rsidR="00CF2642">
        <w:rPr/>
        <w:t xml:space="preserve">and hearing from a range of diverse voices. Common engagement groups </w:t>
      </w:r>
      <w:r w:rsidR="00CF2642">
        <w:rPr/>
        <w:t>identified</w:t>
      </w:r>
      <w:r w:rsidR="00CF2642">
        <w:rPr/>
        <w:t xml:space="preserve"> included: VCSE organisations, community champions, members of the public in the target community, researchers, healthcare providers and wider community support roles (such as police officers). Tailoring the approach to different communities’ needs and perspectives was shown to be key.</w:t>
      </w:r>
      <w:r w:rsidR="00CF2642">
        <w:rPr/>
        <w:t xml:space="preserve"> </w:t>
      </w:r>
    </w:p>
    <w:p w:rsidR="00CF2642" w:rsidP="00CF2642" w:rsidRDefault="00CF2642" w14:paraId="1E43222F" w14:textId="77777777">
      <w:r>
        <w:t>A number of different engagement a</w:t>
      </w:r>
      <w:r w:rsidRPr="0054363A">
        <w:t>pproaches</w:t>
      </w:r>
      <w:r>
        <w:t xml:space="preserve"> have been described but can be grouped into two broad categories</w:t>
      </w:r>
      <w:r w:rsidRPr="0054363A">
        <w:t xml:space="preserve">: </w:t>
      </w:r>
    </w:p>
    <w:p w:rsidRPr="00200762" w:rsidR="00CF2642" w:rsidP="00CF2642" w:rsidRDefault="00CF2642" w14:paraId="10833387" w14:textId="078ED6E8">
      <w:pPr>
        <w:pStyle w:val="ListParagraph"/>
        <w:numPr>
          <w:ilvl w:val="0"/>
          <w:numId w:val="36"/>
        </w:numPr>
      </w:pPr>
      <w:r w:rsidRPr="00E32FB4">
        <w:rPr>
          <w:i/>
          <w:iCs/>
        </w:rPr>
        <w:t>Asset-based engagement</w:t>
      </w:r>
      <w:r>
        <w:t xml:space="preserve"> which rely on </w:t>
      </w:r>
      <w:r w:rsidR="006802BA">
        <w:t xml:space="preserve">existing </w:t>
      </w:r>
      <w:r w:rsidRPr="0054363A">
        <w:t>local community assets</w:t>
      </w:r>
      <w:r>
        <w:t xml:space="preserve"> (people, groups, resources)</w:t>
      </w:r>
      <w:r w:rsidRPr="0054363A">
        <w:t xml:space="preserve"> to develop and strengthen communitie</w:t>
      </w:r>
      <w:r>
        <w:t xml:space="preserve">s; and  </w:t>
      </w:r>
    </w:p>
    <w:p w:rsidR="00CF2642" w:rsidP="00CF2642" w:rsidRDefault="00CF2642" w14:paraId="145C7C57" w14:textId="6C065692">
      <w:pPr>
        <w:pStyle w:val="ListParagraph"/>
        <w:numPr>
          <w:ilvl w:val="0"/>
          <w:numId w:val="36"/>
        </w:numPr>
      </w:pPr>
      <w:r w:rsidRPr="00E32FB4">
        <w:rPr>
          <w:i/>
          <w:iCs/>
        </w:rPr>
        <w:t>Community-centred engagement</w:t>
      </w:r>
      <w:r w:rsidRPr="000D26C5">
        <w:t xml:space="preserve"> models</w:t>
      </w:r>
      <w:r w:rsidRPr="0054363A">
        <w:t xml:space="preserve"> involve</w:t>
      </w:r>
      <w:r>
        <w:t>d</w:t>
      </w:r>
      <w:r w:rsidRPr="0054363A">
        <w:t xml:space="preserve"> mobilising resources within community and co-production</w:t>
      </w:r>
      <w:r w:rsidR="006802BA">
        <w:t xml:space="preserve"> whilst building capabilities within the community</w:t>
      </w:r>
      <w:r>
        <w:t xml:space="preserve">. </w:t>
      </w:r>
    </w:p>
    <w:p w:rsidR="00CF2642" w:rsidP="00CF2642" w:rsidRDefault="00CF2642" w14:paraId="3B1AD538" w14:textId="77777777">
      <w:r>
        <w:t xml:space="preserve">Beyond the two categories for engagement, it was clear that collaboration across partners was essential to provide effective and inclusive ways of working to consider inequalities. </w:t>
      </w:r>
    </w:p>
    <w:p w:rsidR="00CF2642" w:rsidP="00CF2642" w:rsidRDefault="00CF2642" w14:paraId="0F72A75A" w14:textId="4AD2FADD">
      <w:r>
        <w:t xml:space="preserve">To ensure that </w:t>
      </w:r>
      <w:r w:rsidRPr="00C3734B">
        <w:t xml:space="preserve">communities are at the heart of </w:t>
      </w:r>
      <w:r w:rsidR="000061E6">
        <w:t xml:space="preserve">the </w:t>
      </w:r>
      <w:r w:rsidRPr="00C3734B">
        <w:t>approach</w:t>
      </w:r>
      <w:r>
        <w:t>, c</w:t>
      </w:r>
      <w:r w:rsidRPr="00513D34">
        <w:t>ommunity centred approach</w:t>
      </w:r>
      <w:r>
        <w:t>es</w:t>
      </w:r>
      <w:r w:rsidRPr="00513D34">
        <w:t xml:space="preserve"> </w:t>
      </w:r>
      <w:r>
        <w:t>should u</w:t>
      </w:r>
      <w:r w:rsidRPr="00513D34">
        <w:t xml:space="preserve">se </w:t>
      </w:r>
      <w:r w:rsidRPr="004C4CE3">
        <w:t>participatory methods</w:t>
      </w:r>
      <w:r w:rsidRPr="00513D34">
        <w:t xml:space="preserve"> where community members are actively involved in design, delivery</w:t>
      </w:r>
      <w:r w:rsidR="000061E6">
        <w:t>,</w:t>
      </w:r>
      <w:r w:rsidRPr="00513D34">
        <w:t xml:space="preserve"> and evaluation</w:t>
      </w:r>
      <w:r>
        <w:t>; u</w:t>
      </w:r>
      <w:r w:rsidRPr="00513D34">
        <w:t>se</w:t>
      </w:r>
      <w:r>
        <w:t xml:space="preserve"> </w:t>
      </w:r>
      <w:r w:rsidRPr="00513D34">
        <w:t>and build</w:t>
      </w:r>
      <w:r>
        <w:t xml:space="preserve"> </w:t>
      </w:r>
      <w:r w:rsidRPr="00513D34">
        <w:t>on local community assets in developing and delivering the project</w:t>
      </w:r>
      <w:r>
        <w:t>; and d</w:t>
      </w:r>
      <w:r w:rsidRPr="00513D34">
        <w:t>evelop collaborations and partnerships with individuals and groups at most risk of poor health</w:t>
      </w:r>
      <w:r>
        <w:t>.</w:t>
      </w:r>
    </w:p>
    <w:p w:rsidR="00CF2642" w:rsidP="00CF2642" w:rsidRDefault="00CF2642" w14:paraId="3C8AF1A6" w14:textId="77777777">
      <w:r>
        <w:t>The research highlighted a range of challenges of integrating research and practice when it comes to complex community interventions. Successful community and stakeholder engagement requires their involvement from the beginning, and at all stages of method design, delivery, evaluation and dissemination. Within the expert panel, it was also highlighted that it can be challenging to engage meaningfully without culturally competent services that use local assets, including emphasising the need to consider cross cultural competence</w:t>
      </w:r>
      <w:r w:rsidDel="00223C67">
        <w:t xml:space="preserve"> </w:t>
      </w:r>
      <w:r>
        <w:t xml:space="preserve">training not only for community members who are willing to get involved but also for the local services staff. </w:t>
      </w:r>
    </w:p>
    <w:p w:rsidRPr="00085789" w:rsidR="00CF2642" w:rsidP="00CF2642" w:rsidRDefault="00CF2642" w14:paraId="396551DC" w14:textId="77777777">
      <w:r w:rsidRPr="00085789">
        <w:t xml:space="preserve">Whilst this research can highlight the benefits of effective community and local engagement, there was limited evidence in the direct links to improved health outcomes or reduced inequalities. Consideration in future research may be given to establish evidence to support the link between effective engagement and improving health outcomes. </w:t>
      </w:r>
    </w:p>
    <w:p w:rsidR="71AF8922" w:rsidP="00415C25" w:rsidRDefault="71AF8922" w14:paraId="7E9415C0" w14:textId="42C969D4">
      <w:pPr>
        <w:pStyle w:val="Heading4"/>
        <w:spacing w:after="200"/>
        <w:rPr>
          <w:rFonts w:eastAsia="Arial" w:cs="Arial"/>
          <w:szCs w:val="24"/>
        </w:rPr>
      </w:pPr>
      <w:r w:rsidRPr="005D0712">
        <w:t>Learning for CQC</w:t>
      </w:r>
      <w:r w:rsidRPr="005D0712">
        <w:rPr>
          <w:rFonts w:eastAsia="Arial" w:cs="Arial"/>
          <w:szCs w:val="24"/>
        </w:rPr>
        <w:t xml:space="preserve"> </w:t>
      </w:r>
    </w:p>
    <w:p w:rsidR="00CD5EF9" w:rsidDel="0058454E" w:rsidP="00CD5EF9" w:rsidRDefault="00CD5EF9" w14:paraId="34487DF9" w14:textId="17FA689D">
      <w:r w:rsidRPr="004138FE">
        <w:t xml:space="preserve">To help CQC with their development of assessment criteria for ICS for how they address health inequalities, we identified a list of useful </w:t>
      </w:r>
      <w:r>
        <w:t xml:space="preserve">thematic </w:t>
      </w:r>
      <w:r w:rsidRPr="004138FE">
        <w:t xml:space="preserve">considerations under each CQC theme in the below table: </w:t>
      </w:r>
    </w:p>
    <w:p w:rsidR="00CD5EF9" w:rsidP="00EC0502" w:rsidRDefault="00CD5EF9" w14:paraId="5C158462" w14:textId="6ED01383">
      <w:pPr>
        <w:pStyle w:val="Caption"/>
      </w:pPr>
      <w:r>
        <w:t xml:space="preserve">Table </w:t>
      </w:r>
      <w:r w:rsidR="009F7B81">
        <w:t>A</w:t>
      </w:r>
      <w:r>
        <w:t xml:space="preserve"> – Considerations for ICS assessment: Leadership, Integration and Quality &amp; Safety themes</w:t>
      </w:r>
      <w:r w:rsidR="003D552B">
        <w:t xml:space="preserve"> (further details provided in Table </w:t>
      </w:r>
      <w:r w:rsidR="00CD2A86">
        <w:t>5</w:t>
      </w:r>
      <w:r w:rsidRPr="0076419C" w:rsidR="003D552B">
        <w:t>)</w:t>
      </w:r>
    </w:p>
    <w:tbl>
      <w:tblPr>
        <w:tblStyle w:val="TableGrid"/>
        <w:tblW w:w="9627" w:type="dxa"/>
        <w:tblLook w:val="04A0" w:firstRow="1" w:lastRow="0" w:firstColumn="1" w:lastColumn="0" w:noHBand="0" w:noVBand="1"/>
      </w:tblPr>
      <w:tblGrid>
        <w:gridCol w:w="1710"/>
        <w:gridCol w:w="7917"/>
      </w:tblGrid>
      <w:tr w:rsidR="00CD5EF9" w:rsidTr="431813D0" w14:paraId="64FE23BB" w14:textId="77777777">
        <w:trPr>
          <w:tblHeader/>
        </w:trPr>
        <w:tc>
          <w:tcPr>
            <w:tcW w:w="1710" w:type="dxa"/>
          </w:tcPr>
          <w:p w:rsidRPr="004138FE" w:rsidR="00CD5EF9" w:rsidP="00EC0502" w:rsidRDefault="00CD5EF9" w14:paraId="40849604" w14:textId="77777777">
            <w:pPr>
              <w:spacing w:after="0"/>
              <w:rPr>
                <w:b/>
              </w:rPr>
            </w:pPr>
            <w:r w:rsidRPr="004138FE">
              <w:rPr>
                <w:b/>
              </w:rPr>
              <w:t>Area</w:t>
            </w:r>
          </w:p>
        </w:tc>
        <w:tc>
          <w:tcPr>
            <w:tcW w:w="7917" w:type="dxa"/>
          </w:tcPr>
          <w:p w:rsidRPr="004138FE" w:rsidR="00CD5EF9" w:rsidP="00EC0502" w:rsidRDefault="00CD5EF9" w14:paraId="397BFF4E" w14:textId="77777777">
            <w:pPr>
              <w:spacing w:after="0"/>
              <w:rPr>
                <w:b/>
              </w:rPr>
            </w:pPr>
            <w:r w:rsidRPr="004138FE">
              <w:rPr>
                <w:b/>
              </w:rPr>
              <w:t>Considerations</w:t>
            </w:r>
          </w:p>
        </w:tc>
      </w:tr>
      <w:tr w:rsidR="00CD5EF9" w:rsidTr="431813D0" w14:paraId="0519E575" w14:textId="77777777">
        <w:tc>
          <w:tcPr>
            <w:tcW w:w="1710" w:type="dxa"/>
          </w:tcPr>
          <w:p w:rsidRPr="004138FE" w:rsidR="00CD5EF9" w:rsidP="00EC0502" w:rsidRDefault="00CD5EF9" w14:paraId="04ADB952" w14:textId="77777777">
            <w:pPr>
              <w:spacing w:after="0"/>
              <w:rPr>
                <w:rFonts w:eastAsia="Times New Roman" w:cs="Arial"/>
                <w:b/>
                <w:kern w:val="28"/>
                <w:szCs w:val="20"/>
              </w:rPr>
            </w:pPr>
            <w:r w:rsidRPr="004138FE">
              <w:rPr>
                <w:rFonts w:eastAsia="Times New Roman" w:cs="Arial"/>
                <w:b/>
                <w:kern w:val="28"/>
                <w:szCs w:val="20"/>
              </w:rPr>
              <w:t>Leadership</w:t>
            </w:r>
          </w:p>
        </w:tc>
        <w:tc>
          <w:tcPr>
            <w:tcW w:w="7917" w:type="dxa"/>
          </w:tcPr>
          <w:p w:rsidRPr="00CD5EF9" w:rsidR="00CD5EF9" w:rsidP="00AF10D4" w:rsidRDefault="00CD5EF9" w14:paraId="17AB1FFC" w14:textId="35467296">
            <w:pPr>
              <w:pStyle w:val="ListParagraph"/>
              <w:numPr>
                <w:ilvl w:val="0"/>
                <w:numId w:val="21"/>
              </w:numPr>
              <w:spacing w:after="0"/>
              <w:ind w:left="357" w:hanging="357"/>
              <w:contextualSpacing w:val="0"/>
              <w:rPr>
                <w:bCs/>
              </w:rPr>
            </w:pPr>
            <w:r w:rsidRPr="00415C25">
              <w:t>Vision and understanding of the system</w:t>
            </w:r>
          </w:p>
          <w:p w:rsidRPr="00CD5EF9" w:rsidR="00CD5EF9" w:rsidP="00AF10D4" w:rsidRDefault="00CD5EF9" w14:paraId="1AF6CBEF" w14:textId="4FC7F387">
            <w:pPr>
              <w:pStyle w:val="ListParagraph"/>
              <w:numPr>
                <w:ilvl w:val="0"/>
                <w:numId w:val="21"/>
              </w:numPr>
              <w:spacing w:after="0"/>
              <w:ind w:left="357" w:hanging="357"/>
              <w:contextualSpacing w:val="0"/>
              <w:rPr>
                <w:bCs/>
              </w:rPr>
            </w:pPr>
            <w:r w:rsidRPr="00415C25">
              <w:t>Collective ownership</w:t>
            </w:r>
          </w:p>
          <w:p w:rsidRPr="00CD5EF9" w:rsidR="00CD5EF9" w:rsidP="00AF10D4" w:rsidRDefault="00CD5EF9" w14:paraId="08FA4AF2" w14:textId="624A7B7C">
            <w:pPr>
              <w:pStyle w:val="ListParagraph"/>
              <w:numPr>
                <w:ilvl w:val="0"/>
                <w:numId w:val="21"/>
              </w:numPr>
              <w:spacing w:after="0"/>
              <w:ind w:left="357" w:hanging="357"/>
              <w:contextualSpacing w:val="0"/>
              <w:rPr>
                <w:bCs/>
              </w:rPr>
            </w:pPr>
            <w:r w:rsidRPr="00415C25">
              <w:t>Whole pathway framework</w:t>
            </w:r>
          </w:p>
        </w:tc>
      </w:tr>
      <w:tr w:rsidR="00CD5EF9" w:rsidTr="431813D0" w14:paraId="7B8A3922" w14:textId="77777777">
        <w:tc>
          <w:tcPr>
            <w:tcW w:w="1710" w:type="dxa"/>
          </w:tcPr>
          <w:p w:rsidRPr="00915066" w:rsidR="00CD5EF9" w:rsidP="00EC0502" w:rsidRDefault="00CD5EF9" w14:paraId="4D846E2E" w14:textId="77777777">
            <w:pPr>
              <w:spacing w:after="0"/>
              <w:rPr>
                <w:rFonts w:eastAsia="Times New Roman" w:cs="Arial"/>
                <w:b/>
                <w:kern w:val="28"/>
                <w:szCs w:val="20"/>
              </w:rPr>
            </w:pPr>
            <w:r w:rsidRPr="00915066">
              <w:rPr>
                <w:rFonts w:eastAsia="Times New Roman" w:cs="Arial"/>
                <w:b/>
                <w:kern w:val="28"/>
                <w:szCs w:val="20"/>
              </w:rPr>
              <w:t>Integration</w:t>
            </w:r>
          </w:p>
        </w:tc>
        <w:tc>
          <w:tcPr>
            <w:tcW w:w="7917" w:type="dxa"/>
          </w:tcPr>
          <w:p w:rsidRPr="00415C25" w:rsidR="00CD5EF9" w:rsidP="00AF10D4" w:rsidRDefault="00CD5EF9" w14:paraId="6C83A8C9" w14:textId="26C59C4E">
            <w:pPr>
              <w:pStyle w:val="ListParagraph"/>
              <w:numPr>
                <w:ilvl w:val="0"/>
                <w:numId w:val="21"/>
              </w:numPr>
              <w:spacing w:after="0"/>
              <w:ind w:left="360"/>
              <w:contextualSpacing w:val="0"/>
            </w:pPr>
            <w:r w:rsidRPr="00415C25">
              <w:t xml:space="preserve">Length and </w:t>
            </w:r>
            <w:r w:rsidRPr="00415C25" w:rsidDel="00E80280">
              <w:t xml:space="preserve">amount </w:t>
            </w:r>
            <w:r w:rsidRPr="00415C25">
              <w:t>of funding</w:t>
            </w:r>
            <w:r w:rsidRPr="00CD5EF9">
              <w:rPr>
                <w:bCs/>
              </w:rPr>
              <w:t xml:space="preserve"> </w:t>
            </w:r>
          </w:p>
          <w:p w:rsidRPr="00415C25" w:rsidR="00CD5EF9" w:rsidP="00AF10D4" w:rsidRDefault="00CD5EF9" w14:paraId="11EF0B34" w14:textId="3ED9B37E">
            <w:pPr>
              <w:pStyle w:val="ListParagraph"/>
              <w:numPr>
                <w:ilvl w:val="0"/>
                <w:numId w:val="21"/>
              </w:numPr>
              <w:spacing w:after="0"/>
              <w:ind w:left="360"/>
              <w:contextualSpacing w:val="0"/>
            </w:pPr>
            <w:r w:rsidRPr="00415C25">
              <w:t>Partnership / joint working</w:t>
            </w:r>
          </w:p>
          <w:p w:rsidRPr="00415C25" w:rsidR="00CD5EF9" w:rsidP="00AF10D4" w:rsidRDefault="00CD5EF9" w14:paraId="1A8D77D3" w14:textId="6609FF13">
            <w:pPr>
              <w:pStyle w:val="ListParagraph"/>
              <w:numPr>
                <w:ilvl w:val="0"/>
                <w:numId w:val="21"/>
              </w:numPr>
              <w:spacing w:after="0"/>
              <w:ind w:left="360"/>
              <w:contextualSpacing w:val="0"/>
            </w:pPr>
            <w:r w:rsidRPr="00415C25">
              <w:t xml:space="preserve">Commissioning arrangements / </w:t>
            </w:r>
            <w:r w:rsidR="00D76A6F">
              <w:t>c</w:t>
            </w:r>
            <w:r w:rsidRPr="00415C25" w:rsidR="00D76A6F">
              <w:t>ontracting</w:t>
            </w:r>
          </w:p>
          <w:p w:rsidRPr="00CD5EF9" w:rsidR="00CD5EF9" w:rsidP="00AF10D4" w:rsidRDefault="00CD5EF9" w14:paraId="403A9A64" w14:textId="2A9F3039">
            <w:pPr>
              <w:pStyle w:val="ListParagraph"/>
              <w:numPr>
                <w:ilvl w:val="0"/>
                <w:numId w:val="21"/>
              </w:numPr>
              <w:spacing w:after="0"/>
              <w:ind w:left="360"/>
              <w:contextualSpacing w:val="0"/>
              <w:rPr>
                <w:bCs/>
              </w:rPr>
            </w:pPr>
            <w:r w:rsidRPr="00415C25">
              <w:t>Wider determinants of health</w:t>
            </w:r>
          </w:p>
          <w:p w:rsidRPr="00CD5EF9" w:rsidR="00CD5EF9" w:rsidP="00AF10D4" w:rsidRDefault="00CD5EF9" w14:paraId="2341C5C6" w14:textId="5BB142FE">
            <w:pPr>
              <w:pStyle w:val="ListParagraph"/>
              <w:numPr>
                <w:ilvl w:val="0"/>
                <w:numId w:val="21"/>
              </w:numPr>
              <w:spacing w:after="0"/>
              <w:ind w:left="360"/>
              <w:contextualSpacing w:val="0"/>
              <w:rPr>
                <w:bCs/>
              </w:rPr>
            </w:pPr>
            <w:r w:rsidRPr="00415C25">
              <w:t>Community assets</w:t>
            </w:r>
          </w:p>
          <w:p w:rsidRPr="00CD5EF9" w:rsidR="00CD5EF9" w:rsidP="00AF10D4" w:rsidRDefault="00CD5EF9" w14:paraId="2D4CEF6F" w14:textId="10443B34">
            <w:pPr>
              <w:pStyle w:val="ListParagraph"/>
              <w:numPr>
                <w:ilvl w:val="0"/>
                <w:numId w:val="21"/>
              </w:numPr>
              <w:spacing w:after="0"/>
              <w:ind w:left="360"/>
              <w:contextualSpacing w:val="0"/>
              <w:rPr>
                <w:bCs/>
              </w:rPr>
            </w:pPr>
            <w:r w:rsidRPr="00415C25">
              <w:t>Population profile</w:t>
            </w:r>
          </w:p>
        </w:tc>
      </w:tr>
      <w:tr w:rsidR="00CD5EF9" w:rsidTr="431813D0" w14:paraId="2ED360AC" w14:textId="77777777">
        <w:tc>
          <w:tcPr>
            <w:tcW w:w="1710" w:type="dxa"/>
          </w:tcPr>
          <w:p w:rsidRPr="00576A68" w:rsidR="00CD5EF9" w:rsidP="00EC0502" w:rsidRDefault="00CD5EF9" w14:paraId="00BEB5F5" w14:textId="77777777">
            <w:pPr>
              <w:spacing w:after="0"/>
              <w:rPr>
                <w:b/>
              </w:rPr>
            </w:pPr>
            <w:r w:rsidRPr="00576A68">
              <w:rPr>
                <w:rFonts w:eastAsia="Times New Roman" w:cs="Arial"/>
                <w:b/>
                <w:kern w:val="28"/>
                <w:szCs w:val="20"/>
              </w:rPr>
              <w:t>Quality &amp; Safety</w:t>
            </w:r>
          </w:p>
        </w:tc>
        <w:tc>
          <w:tcPr>
            <w:tcW w:w="7917" w:type="dxa"/>
          </w:tcPr>
          <w:p w:rsidRPr="00CD5EF9" w:rsidR="00CD5EF9" w:rsidP="00AF10D4" w:rsidRDefault="00CD5EF9" w14:paraId="2F571AFF" w14:textId="733B044D">
            <w:pPr>
              <w:pStyle w:val="ListParagraph"/>
              <w:numPr>
                <w:ilvl w:val="0"/>
                <w:numId w:val="21"/>
              </w:numPr>
              <w:spacing w:after="0" w:line="240" w:lineRule="auto"/>
              <w:ind w:left="360"/>
              <w:contextualSpacing w:val="0"/>
              <w:rPr>
                <w:bCs/>
              </w:rPr>
            </w:pPr>
            <w:r w:rsidRPr="00415C25">
              <w:t>Information governance &amp; data sharing</w:t>
            </w:r>
          </w:p>
          <w:p w:rsidRPr="00CD5EF9" w:rsidR="00CD5EF9" w:rsidP="00AF10D4" w:rsidRDefault="00CD5EF9" w14:paraId="3BB37BCF" w14:textId="39BA1EF3">
            <w:pPr>
              <w:pStyle w:val="ListParagraph"/>
              <w:numPr>
                <w:ilvl w:val="0"/>
                <w:numId w:val="21"/>
              </w:numPr>
              <w:spacing w:after="0" w:line="240" w:lineRule="auto"/>
              <w:ind w:left="360"/>
              <w:contextualSpacing w:val="0"/>
              <w:rPr>
                <w:bCs/>
              </w:rPr>
            </w:pPr>
            <w:r w:rsidRPr="00415C25">
              <w:t>Use of data and data quality</w:t>
            </w:r>
            <w:r w:rsidRPr="00CD5EF9">
              <w:rPr>
                <w:bCs/>
              </w:rPr>
              <w:t xml:space="preserve"> </w:t>
            </w:r>
          </w:p>
          <w:p w:rsidRPr="00CD5EF9" w:rsidR="00CD5EF9" w:rsidP="00AF10D4" w:rsidRDefault="00CD5EF9" w14:paraId="6FA18B00" w14:textId="1A84FD1F">
            <w:pPr>
              <w:pStyle w:val="ListParagraph"/>
              <w:numPr>
                <w:ilvl w:val="0"/>
                <w:numId w:val="21"/>
              </w:numPr>
              <w:spacing w:after="0" w:line="240" w:lineRule="auto"/>
              <w:ind w:left="360"/>
              <w:contextualSpacing w:val="0"/>
              <w:rPr>
                <w:bCs/>
              </w:rPr>
            </w:pPr>
            <w:r w:rsidRPr="00415C25">
              <w:t>Co-production of services</w:t>
            </w:r>
          </w:p>
          <w:p w:rsidRPr="00CD5EF9" w:rsidR="00CD5EF9" w:rsidP="00AF10D4" w:rsidRDefault="00CD5EF9" w14:paraId="235E7C95" w14:textId="48E2F7BA">
            <w:pPr>
              <w:pStyle w:val="ListParagraph"/>
              <w:numPr>
                <w:ilvl w:val="0"/>
                <w:numId w:val="21"/>
              </w:numPr>
              <w:spacing w:after="0"/>
              <w:ind w:left="360"/>
              <w:contextualSpacing w:val="0"/>
              <w:rPr>
                <w:bCs/>
              </w:rPr>
            </w:pPr>
            <w:r w:rsidRPr="00415C25">
              <w:t>Engagement with communities</w:t>
            </w:r>
            <w:r w:rsidRPr="00CD5EF9">
              <w:rPr>
                <w:bCs/>
              </w:rPr>
              <w:t xml:space="preserve"> </w:t>
            </w:r>
          </w:p>
          <w:p w:rsidRPr="00CD5EF9" w:rsidR="00CD5EF9" w:rsidP="00AF10D4" w:rsidRDefault="00CD5EF9" w14:paraId="7ADE2416" w14:textId="1C251115">
            <w:pPr>
              <w:pStyle w:val="ListParagraph"/>
              <w:numPr>
                <w:ilvl w:val="0"/>
                <w:numId w:val="21"/>
              </w:numPr>
              <w:spacing w:after="0"/>
              <w:ind w:left="360"/>
              <w:contextualSpacing w:val="0"/>
              <w:rPr>
                <w:bCs/>
              </w:rPr>
            </w:pPr>
            <w:r w:rsidRPr="00415C25">
              <w:t>Feedback from communities</w:t>
            </w:r>
          </w:p>
          <w:p w:rsidRPr="00CD5EF9" w:rsidR="00CD5EF9" w:rsidP="00AF10D4" w:rsidRDefault="00CD5EF9" w14:paraId="371B5688" w14:textId="288B7C08">
            <w:pPr>
              <w:pStyle w:val="ListParagraph"/>
              <w:numPr>
                <w:ilvl w:val="0"/>
                <w:numId w:val="21"/>
              </w:numPr>
              <w:spacing w:after="0"/>
              <w:ind w:left="360"/>
              <w:contextualSpacing w:val="0"/>
              <w:rPr>
                <w:bCs/>
              </w:rPr>
            </w:pPr>
            <w:r w:rsidRPr="00415C25">
              <w:t>Engagement with populations</w:t>
            </w:r>
            <w:r w:rsidR="00BC351B">
              <w:t xml:space="preserve"> </w:t>
            </w:r>
            <w:r w:rsidRPr="00BC351B" w:rsidR="00BC351B">
              <w:t>at risk of inequality</w:t>
            </w:r>
          </w:p>
        </w:tc>
      </w:tr>
    </w:tbl>
    <w:p w:rsidR="00114DC8" w:rsidP="00114DC8" w:rsidRDefault="00114DC8" w14:paraId="79097EA0" w14:textId="4ABFEA64">
      <w:pPr>
        <w:spacing w:before="240"/>
      </w:pPr>
      <w:r>
        <w:t>Please note: the considerations for ICS assessment have been grouped thematically, however, these may be categorised differently following the refinement of the ICS assessment themes.</w:t>
      </w:r>
      <w:r w:rsidR="006802BA">
        <w:t xml:space="preserve"> Considerations for Quality and Safety ha</w:t>
      </w:r>
      <w:r w:rsidR="00B152C5">
        <w:t>ve</w:t>
      </w:r>
      <w:r w:rsidR="006802BA">
        <w:t xml:space="preserve"> been grouped based on</w:t>
      </w:r>
      <w:r w:rsidR="00B152C5">
        <w:t xml:space="preserve"> the extent to which </w:t>
      </w:r>
      <w:r w:rsidR="006802BA">
        <w:t xml:space="preserve">they could </w:t>
      </w:r>
      <w:r w:rsidR="00B152C5">
        <w:t xml:space="preserve">negatively </w:t>
      </w:r>
      <w:r w:rsidR="006802BA">
        <w:t>impact on the quality and safety of services</w:t>
      </w:r>
      <w:r w:rsidR="00B152C5">
        <w:t xml:space="preserve"> if the</w:t>
      </w:r>
      <w:r w:rsidR="008610FD">
        <w:t>se factors</w:t>
      </w:r>
      <w:r w:rsidR="00B152C5">
        <w:t xml:space="preserve"> were not appropriately in place</w:t>
      </w:r>
      <w:r w:rsidR="006802BA">
        <w:t xml:space="preserve">. </w:t>
      </w:r>
    </w:p>
    <w:p w:rsidR="67095979" w:rsidP="00415C25" w:rsidRDefault="00CD5EF9" w14:paraId="2C0A19D8" w14:textId="40137480">
      <w:pPr>
        <w:pStyle w:val="Heading4"/>
        <w:spacing w:after="200"/>
      </w:pPr>
      <w:r>
        <w:t>Considerations for future research</w:t>
      </w:r>
    </w:p>
    <w:p w:rsidRPr="00576A68" w:rsidR="00415C25" w:rsidP="00415C25" w:rsidRDefault="00415C25" w14:paraId="6067AEA0" w14:textId="77777777">
      <w:r>
        <w:t>Based on the evidence from this literature review and the reflections from the expert panel, there are a number of considerations of areas for future research:</w:t>
      </w:r>
    </w:p>
    <w:p w:rsidRPr="00EC0502" w:rsidR="00F129DE" w:rsidP="00AF10D4" w:rsidRDefault="00894D46" w14:paraId="530F22BE" w14:textId="65ED497F">
      <w:pPr>
        <w:pStyle w:val="ListParagraph"/>
        <w:numPr>
          <w:ilvl w:val="0"/>
          <w:numId w:val="22"/>
        </w:numPr>
        <w:ind w:left="714" w:hanging="357"/>
        <w:contextualSpacing w:val="0"/>
        <w:rPr>
          <w:b/>
          <w:bCs/>
        </w:rPr>
      </w:pPr>
      <w:r w:rsidRPr="00F129DE">
        <w:rPr>
          <w:b/>
          <w:bCs/>
        </w:rPr>
        <w:t xml:space="preserve">Whole pathway framework: </w:t>
      </w:r>
      <w:r>
        <w:t xml:space="preserve">many of the studies cited within this literature review referenced a particular point in the process of addressing health inequalities (ie the identification of health inequalities, delivering on </w:t>
      </w:r>
      <w:r w:rsidR="00FE018E">
        <w:t>different methods</w:t>
      </w:r>
      <w:r>
        <w:t xml:space="preserve">, engaging within communities) as a standalone focus. To address this gap in evidence, a series of mini case studies could be undertaken with a stratified sample of systems to better understand these linkages in addressing health inequalities across the “whole </w:t>
      </w:r>
      <w:r w:rsidR="00936A06">
        <w:t xml:space="preserve">improvement </w:t>
      </w:r>
      <w:r>
        <w:t>pathway”.</w:t>
      </w:r>
    </w:p>
    <w:p w:rsidR="00415C25" w:rsidP="00AF10D4" w:rsidRDefault="00415C25" w14:paraId="015F774B" w14:textId="205290ED">
      <w:pPr>
        <w:pStyle w:val="ListParagraph"/>
        <w:numPr>
          <w:ilvl w:val="0"/>
          <w:numId w:val="22"/>
        </w:numPr>
        <w:ind w:left="714" w:hanging="357"/>
        <w:contextualSpacing w:val="0"/>
      </w:pPr>
      <w:r w:rsidRPr="00E20496">
        <w:rPr>
          <w:b/>
          <w:bCs/>
        </w:rPr>
        <w:t xml:space="preserve">Improving </w:t>
      </w:r>
      <w:r>
        <w:rPr>
          <w:b/>
          <w:bCs/>
        </w:rPr>
        <w:t xml:space="preserve">the </w:t>
      </w:r>
      <w:r w:rsidRPr="00E20496">
        <w:rPr>
          <w:b/>
          <w:bCs/>
        </w:rPr>
        <w:t>evaluation</w:t>
      </w:r>
      <w:r>
        <w:rPr>
          <w:b/>
          <w:bCs/>
        </w:rPr>
        <w:t xml:space="preserve"> of interventions</w:t>
      </w:r>
      <w:r w:rsidRPr="00E20496">
        <w:rPr>
          <w:b/>
          <w:bCs/>
        </w:rPr>
        <w:t>:</w:t>
      </w:r>
      <w:r>
        <w:t xml:space="preserve"> Further research into good practice in how to address these challenges would provide local systems with a robust evidence base to improve the evaluation of </w:t>
      </w:r>
      <w:r w:rsidR="00FE018E">
        <w:t>method</w:t>
      </w:r>
      <w:r>
        <w:t xml:space="preserve">s, enabling successful </w:t>
      </w:r>
      <w:r w:rsidR="00FE018E">
        <w:t>method</w:t>
      </w:r>
      <w:r>
        <w:t xml:space="preserve">s to be embedded and less successful </w:t>
      </w:r>
      <w:r w:rsidR="00FE018E">
        <w:t>method</w:t>
      </w:r>
      <w:r>
        <w:t xml:space="preserve">s to be improved or concluded. </w:t>
      </w:r>
    </w:p>
    <w:p w:rsidRPr="006049D3" w:rsidR="00894D46" w:rsidP="00AF10D4" w:rsidRDefault="00894D46" w14:paraId="67B1FEC7" w14:textId="788749A1">
      <w:pPr>
        <w:pStyle w:val="ListParagraph"/>
        <w:numPr>
          <w:ilvl w:val="0"/>
          <w:numId w:val="22"/>
        </w:numPr>
        <w:ind w:left="714" w:hanging="357"/>
        <w:contextualSpacing w:val="0"/>
      </w:pPr>
      <w:r w:rsidRPr="009F7B81">
        <w:rPr>
          <w:b/>
          <w:bCs/>
        </w:rPr>
        <w:t>Sustainability:</w:t>
      </w:r>
      <w:r>
        <w:t xml:space="preserve"> Further research could be undertaken to focus on understanding how successful one-off </w:t>
      </w:r>
      <w:r w:rsidR="00FE018E">
        <w:t>method</w:t>
      </w:r>
      <w:r>
        <w:t xml:space="preserve">s could be embedded into health and care systems and scaled (including the exploration of critical success factors for a sustainable </w:t>
      </w:r>
      <w:r w:rsidR="00FE018E">
        <w:t>method</w:t>
      </w:r>
      <w:r>
        <w:t xml:space="preserve">, models which support sustainability, economic / financial considerations and lessons learnt in embedding one-off </w:t>
      </w:r>
      <w:r w:rsidR="00FE018E">
        <w:t>method</w:t>
      </w:r>
      <w:r>
        <w:t xml:space="preserve">s into business as usual). </w:t>
      </w:r>
    </w:p>
    <w:p w:rsidR="001634BB" w:rsidP="000F7A4D" w:rsidRDefault="00894D46" w14:paraId="2C3BA51E" w14:textId="5FC0BA05">
      <w:r>
        <w:rPr>
          <w:b/>
          <w:bCs/>
        </w:rPr>
        <w:br w:type="page"/>
      </w:r>
    </w:p>
    <w:sdt>
      <w:sdtPr>
        <w:rPr>
          <w:rFonts w:ascii="Arial" w:hAnsi="Arial" w:eastAsiaTheme="minorHAnsi" w:cstheme="minorBidi"/>
          <w:caps w:val="0"/>
          <w:color w:val="auto"/>
          <w:sz w:val="24"/>
          <w:szCs w:val="22"/>
          <w:lang w:val="en-GB"/>
        </w:rPr>
        <w:id w:val="-2011595006"/>
        <w:docPartObj>
          <w:docPartGallery w:val="Table of Contents"/>
          <w:docPartUnique/>
        </w:docPartObj>
      </w:sdtPr>
      <w:sdtEndPr>
        <w:rPr>
          <w:b/>
          <w:bCs/>
          <w:noProof/>
        </w:rPr>
      </w:sdtEndPr>
      <w:sdtContent>
        <w:p w:rsidRPr="00F2473C" w:rsidR="001634BB" w:rsidP="001634BB" w:rsidRDefault="00ED7151" w14:paraId="2E9FA781" w14:textId="28ED21EF">
          <w:pPr>
            <w:pStyle w:val="TOCHeading"/>
            <w:rPr>
              <w:rFonts w:ascii="Arial" w:hAnsi="Arial" w:cs="Arial"/>
              <w:color w:val="auto"/>
              <w:sz w:val="40"/>
              <w:szCs w:val="40"/>
            </w:rPr>
          </w:pPr>
          <w:r w:rsidRPr="00F2473C">
            <w:rPr>
              <w:rFonts w:ascii="Arial" w:hAnsi="Arial" w:cs="Arial"/>
              <w:color w:val="auto"/>
              <w:sz w:val="40"/>
              <w:szCs w:val="40"/>
            </w:rPr>
            <w:t>Contents</w:t>
          </w:r>
        </w:p>
        <w:p w:rsidR="006C28CC" w:rsidRDefault="00F2473C" w14:paraId="1C334F06" w14:textId="76ECEFD7">
          <w:pPr>
            <w:pStyle w:val="TOC1"/>
            <w:tabs>
              <w:tab w:val="left" w:pos="2328"/>
            </w:tabs>
            <w:rPr>
              <w:rFonts w:asciiTheme="minorHAnsi" w:hAnsiTheme="minorHAnsi" w:eastAsiaTheme="minorEastAsia" w:cstheme="minorBidi"/>
              <w:b w:val="0"/>
              <w:bCs w:val="0"/>
              <w:noProof/>
              <w:kern w:val="2"/>
              <w:sz w:val="22"/>
              <w:szCs w:val="22"/>
              <w:lang w:eastAsia="en-GB"/>
              <w14:ligatures w14:val="standardContextual"/>
            </w:rPr>
          </w:pPr>
          <w:r>
            <w:rPr>
              <w:rFonts w:cs="Arial"/>
              <w:szCs w:val="24"/>
            </w:rPr>
            <w:fldChar w:fldCharType="begin"/>
          </w:r>
          <w:r>
            <w:rPr>
              <w:rFonts w:cs="Arial"/>
              <w:szCs w:val="24"/>
            </w:rPr>
            <w:instrText xml:space="preserve"> TOC \o "1-1" \u </w:instrText>
          </w:r>
          <w:r>
            <w:rPr>
              <w:rFonts w:cs="Arial"/>
              <w:szCs w:val="24"/>
            </w:rPr>
            <w:fldChar w:fldCharType="separate"/>
          </w:r>
          <w:r w:rsidR="006C28CC">
            <w:rPr>
              <w:noProof/>
            </w:rPr>
            <w:t>Glossary of Terms</w:t>
          </w:r>
          <w:r w:rsidR="006C28CC">
            <w:rPr>
              <w:rFonts w:asciiTheme="minorHAnsi" w:hAnsiTheme="minorHAnsi" w:eastAsiaTheme="minorEastAsia" w:cstheme="minorBidi"/>
              <w:b w:val="0"/>
              <w:bCs w:val="0"/>
              <w:noProof/>
              <w:kern w:val="2"/>
              <w:sz w:val="22"/>
              <w:szCs w:val="22"/>
              <w:lang w:eastAsia="en-GB"/>
              <w14:ligatures w14:val="standardContextual"/>
            </w:rPr>
            <w:tab/>
          </w:r>
          <w:r w:rsidR="006C28CC">
            <w:rPr>
              <w:noProof/>
            </w:rPr>
            <w:tab/>
          </w:r>
          <w:r w:rsidR="006C28CC">
            <w:rPr>
              <w:noProof/>
            </w:rPr>
            <w:fldChar w:fldCharType="begin"/>
          </w:r>
          <w:r w:rsidR="006C28CC">
            <w:rPr>
              <w:noProof/>
            </w:rPr>
            <w:instrText xml:space="preserve"> PAGEREF _Toc146539766 \h </w:instrText>
          </w:r>
          <w:r w:rsidR="006C28CC">
            <w:rPr>
              <w:noProof/>
            </w:rPr>
          </w:r>
          <w:r w:rsidR="006C28CC">
            <w:rPr>
              <w:noProof/>
            </w:rPr>
            <w:fldChar w:fldCharType="separate"/>
          </w:r>
          <w:r w:rsidR="00DA5B0B">
            <w:rPr>
              <w:noProof/>
            </w:rPr>
            <w:t>9</w:t>
          </w:r>
          <w:r w:rsidR="006C28CC">
            <w:rPr>
              <w:noProof/>
            </w:rPr>
            <w:fldChar w:fldCharType="end"/>
          </w:r>
        </w:p>
        <w:p w:rsidR="006C28CC" w:rsidRDefault="006C28CC" w14:paraId="776B5053" w14:textId="4AC45050">
          <w:pPr>
            <w:pStyle w:val="TOC1"/>
            <w:rPr>
              <w:rFonts w:asciiTheme="minorHAnsi" w:hAnsiTheme="minorHAnsi" w:eastAsiaTheme="minorEastAsia" w:cstheme="minorBidi"/>
              <w:b w:val="0"/>
              <w:bCs w:val="0"/>
              <w:noProof/>
              <w:kern w:val="2"/>
              <w:sz w:val="22"/>
              <w:szCs w:val="22"/>
              <w:lang w:eastAsia="en-GB"/>
              <w14:ligatures w14:val="standardContextual"/>
            </w:rPr>
          </w:pPr>
          <w:r>
            <w:rPr>
              <w:noProof/>
            </w:rPr>
            <w:t>1.</w:t>
          </w:r>
          <w:r>
            <w:rPr>
              <w:rFonts w:asciiTheme="minorHAnsi" w:hAnsiTheme="minorHAnsi" w:eastAsiaTheme="minorEastAsia" w:cstheme="minorBidi"/>
              <w:b w:val="0"/>
              <w:bCs w:val="0"/>
              <w:noProof/>
              <w:kern w:val="2"/>
              <w:sz w:val="22"/>
              <w:szCs w:val="22"/>
              <w:lang w:eastAsia="en-GB"/>
              <w14:ligatures w14:val="standardContextual"/>
            </w:rPr>
            <w:tab/>
          </w:r>
          <w:r>
            <w:rPr>
              <w:noProof/>
            </w:rPr>
            <w:t>Introduction and background</w:t>
          </w:r>
          <w:r>
            <w:rPr>
              <w:noProof/>
            </w:rPr>
            <w:tab/>
          </w:r>
          <w:r>
            <w:rPr>
              <w:noProof/>
            </w:rPr>
            <w:fldChar w:fldCharType="begin"/>
          </w:r>
          <w:r>
            <w:rPr>
              <w:noProof/>
            </w:rPr>
            <w:instrText xml:space="preserve"> PAGEREF _Toc146539767 \h </w:instrText>
          </w:r>
          <w:r>
            <w:rPr>
              <w:noProof/>
            </w:rPr>
          </w:r>
          <w:r>
            <w:rPr>
              <w:noProof/>
            </w:rPr>
            <w:fldChar w:fldCharType="separate"/>
          </w:r>
          <w:r w:rsidR="00DA5B0B">
            <w:rPr>
              <w:noProof/>
            </w:rPr>
            <w:t>12</w:t>
          </w:r>
          <w:r>
            <w:rPr>
              <w:noProof/>
            </w:rPr>
            <w:fldChar w:fldCharType="end"/>
          </w:r>
        </w:p>
        <w:p w:rsidR="006C28CC" w:rsidRDefault="006C28CC" w14:paraId="6AF5745D" w14:textId="76D875D4">
          <w:pPr>
            <w:pStyle w:val="TOC1"/>
            <w:rPr>
              <w:rFonts w:asciiTheme="minorHAnsi" w:hAnsiTheme="minorHAnsi" w:eastAsiaTheme="minorEastAsia" w:cstheme="minorBidi"/>
              <w:b w:val="0"/>
              <w:bCs w:val="0"/>
              <w:noProof/>
              <w:kern w:val="2"/>
              <w:sz w:val="22"/>
              <w:szCs w:val="22"/>
              <w:lang w:eastAsia="en-GB"/>
              <w14:ligatures w14:val="standardContextual"/>
            </w:rPr>
          </w:pPr>
          <w:r>
            <w:rPr>
              <w:noProof/>
            </w:rPr>
            <w:t>2.</w:t>
          </w:r>
          <w:r>
            <w:rPr>
              <w:rFonts w:asciiTheme="minorHAnsi" w:hAnsiTheme="minorHAnsi" w:eastAsiaTheme="minorEastAsia" w:cstheme="minorBidi"/>
              <w:b w:val="0"/>
              <w:bCs w:val="0"/>
              <w:noProof/>
              <w:kern w:val="2"/>
              <w:sz w:val="22"/>
              <w:szCs w:val="22"/>
              <w:lang w:eastAsia="en-GB"/>
              <w14:ligatures w14:val="standardContextual"/>
            </w:rPr>
            <w:tab/>
          </w:r>
          <w:r>
            <w:rPr>
              <w:noProof/>
            </w:rPr>
            <w:t>Method</w:t>
          </w:r>
          <w:r w:rsidR="00CD2A86">
            <w:rPr>
              <w:noProof/>
            </w:rPr>
            <w:t>……………….</w:t>
          </w:r>
          <w:r>
            <w:rPr>
              <w:noProof/>
            </w:rPr>
            <w:tab/>
          </w:r>
          <w:r>
            <w:rPr>
              <w:noProof/>
            </w:rPr>
            <w:fldChar w:fldCharType="begin"/>
          </w:r>
          <w:r>
            <w:rPr>
              <w:noProof/>
            </w:rPr>
            <w:instrText xml:space="preserve"> PAGEREF _Toc146539768 \h </w:instrText>
          </w:r>
          <w:r>
            <w:rPr>
              <w:noProof/>
            </w:rPr>
          </w:r>
          <w:r>
            <w:rPr>
              <w:noProof/>
            </w:rPr>
            <w:fldChar w:fldCharType="separate"/>
          </w:r>
          <w:r w:rsidR="00DA5B0B">
            <w:rPr>
              <w:noProof/>
            </w:rPr>
            <w:t>14</w:t>
          </w:r>
          <w:r>
            <w:rPr>
              <w:noProof/>
            </w:rPr>
            <w:fldChar w:fldCharType="end"/>
          </w:r>
        </w:p>
        <w:p w:rsidR="006C28CC" w:rsidRDefault="006C28CC" w14:paraId="657E097F" w14:textId="064B025B">
          <w:pPr>
            <w:pStyle w:val="TOC1"/>
            <w:rPr>
              <w:rFonts w:asciiTheme="minorHAnsi" w:hAnsiTheme="minorHAnsi" w:eastAsiaTheme="minorEastAsia" w:cstheme="minorBidi"/>
              <w:b w:val="0"/>
              <w:bCs w:val="0"/>
              <w:noProof/>
              <w:kern w:val="2"/>
              <w:sz w:val="22"/>
              <w:szCs w:val="22"/>
              <w:lang w:eastAsia="en-GB"/>
              <w14:ligatures w14:val="standardContextual"/>
            </w:rPr>
          </w:pPr>
          <w:r>
            <w:rPr>
              <w:noProof/>
            </w:rPr>
            <w:t>3.</w:t>
          </w:r>
          <w:r>
            <w:rPr>
              <w:rFonts w:asciiTheme="minorHAnsi" w:hAnsiTheme="minorHAnsi" w:eastAsiaTheme="minorEastAsia" w:cstheme="minorBidi"/>
              <w:b w:val="0"/>
              <w:bCs w:val="0"/>
              <w:noProof/>
              <w:kern w:val="2"/>
              <w:sz w:val="22"/>
              <w:szCs w:val="22"/>
              <w:lang w:eastAsia="en-GB"/>
              <w14:ligatures w14:val="standardContextual"/>
            </w:rPr>
            <w:tab/>
          </w:r>
          <w:r>
            <w:rPr>
              <w:noProof/>
            </w:rPr>
            <w:t>Findings from the rapid literature review</w:t>
          </w:r>
          <w:r>
            <w:rPr>
              <w:noProof/>
            </w:rPr>
            <w:tab/>
          </w:r>
          <w:r>
            <w:rPr>
              <w:noProof/>
            </w:rPr>
            <w:fldChar w:fldCharType="begin"/>
          </w:r>
          <w:r>
            <w:rPr>
              <w:noProof/>
            </w:rPr>
            <w:instrText xml:space="preserve"> PAGEREF _Toc146539769 \h </w:instrText>
          </w:r>
          <w:r>
            <w:rPr>
              <w:noProof/>
            </w:rPr>
          </w:r>
          <w:r>
            <w:rPr>
              <w:noProof/>
            </w:rPr>
            <w:fldChar w:fldCharType="separate"/>
          </w:r>
          <w:r w:rsidR="00DA5B0B">
            <w:rPr>
              <w:noProof/>
            </w:rPr>
            <w:t>18</w:t>
          </w:r>
          <w:r>
            <w:rPr>
              <w:noProof/>
            </w:rPr>
            <w:fldChar w:fldCharType="end"/>
          </w:r>
        </w:p>
        <w:p w:rsidR="006C28CC" w:rsidRDefault="006C28CC" w14:paraId="2F3F34C4" w14:textId="2D987523">
          <w:pPr>
            <w:pStyle w:val="TOC1"/>
            <w:rPr>
              <w:rFonts w:asciiTheme="minorHAnsi" w:hAnsiTheme="minorHAnsi" w:eastAsiaTheme="minorEastAsia" w:cstheme="minorBidi"/>
              <w:b w:val="0"/>
              <w:bCs w:val="0"/>
              <w:noProof/>
              <w:kern w:val="2"/>
              <w:sz w:val="22"/>
              <w:szCs w:val="22"/>
              <w:lang w:eastAsia="en-GB"/>
              <w14:ligatures w14:val="standardContextual"/>
            </w:rPr>
          </w:pPr>
          <w:r>
            <w:rPr>
              <w:noProof/>
            </w:rPr>
            <w:t>4.</w:t>
          </w:r>
          <w:r>
            <w:rPr>
              <w:rFonts w:asciiTheme="minorHAnsi" w:hAnsiTheme="minorHAnsi" w:eastAsiaTheme="minorEastAsia" w:cstheme="minorBidi"/>
              <w:b w:val="0"/>
              <w:bCs w:val="0"/>
              <w:noProof/>
              <w:kern w:val="2"/>
              <w:sz w:val="22"/>
              <w:szCs w:val="22"/>
              <w:lang w:eastAsia="en-GB"/>
              <w14:ligatures w14:val="standardContextual"/>
            </w:rPr>
            <w:tab/>
          </w:r>
          <w:r>
            <w:rPr>
              <w:noProof/>
            </w:rPr>
            <w:t>Discussion of findings</w:t>
          </w:r>
          <w:r>
            <w:rPr>
              <w:noProof/>
            </w:rPr>
            <w:tab/>
          </w:r>
          <w:r>
            <w:rPr>
              <w:noProof/>
            </w:rPr>
            <w:fldChar w:fldCharType="begin"/>
          </w:r>
          <w:r>
            <w:rPr>
              <w:noProof/>
            </w:rPr>
            <w:instrText xml:space="preserve"> PAGEREF _Toc146539770 \h </w:instrText>
          </w:r>
          <w:r>
            <w:rPr>
              <w:noProof/>
            </w:rPr>
          </w:r>
          <w:r>
            <w:rPr>
              <w:noProof/>
            </w:rPr>
            <w:fldChar w:fldCharType="separate"/>
          </w:r>
          <w:r w:rsidR="00DA5B0B">
            <w:rPr>
              <w:noProof/>
            </w:rPr>
            <w:t>34</w:t>
          </w:r>
          <w:r>
            <w:rPr>
              <w:noProof/>
            </w:rPr>
            <w:fldChar w:fldCharType="end"/>
          </w:r>
        </w:p>
        <w:p w:rsidR="006C28CC" w:rsidRDefault="006C28CC" w14:paraId="26D7FEB3" w14:textId="470EC61C">
          <w:pPr>
            <w:pStyle w:val="TOC1"/>
            <w:rPr>
              <w:rFonts w:asciiTheme="minorHAnsi" w:hAnsiTheme="minorHAnsi" w:eastAsiaTheme="minorEastAsia" w:cstheme="minorBidi"/>
              <w:b w:val="0"/>
              <w:bCs w:val="0"/>
              <w:noProof/>
              <w:kern w:val="2"/>
              <w:sz w:val="22"/>
              <w:szCs w:val="22"/>
              <w:lang w:eastAsia="en-GB"/>
              <w14:ligatures w14:val="standardContextual"/>
            </w:rPr>
          </w:pPr>
          <w:r>
            <w:rPr>
              <w:noProof/>
            </w:rPr>
            <w:t>5.</w:t>
          </w:r>
          <w:r>
            <w:rPr>
              <w:rFonts w:asciiTheme="minorHAnsi" w:hAnsiTheme="minorHAnsi" w:eastAsiaTheme="minorEastAsia" w:cstheme="minorBidi"/>
              <w:b w:val="0"/>
              <w:bCs w:val="0"/>
              <w:noProof/>
              <w:kern w:val="2"/>
              <w:sz w:val="22"/>
              <w:szCs w:val="22"/>
              <w:lang w:eastAsia="en-GB"/>
              <w14:ligatures w14:val="standardContextual"/>
            </w:rPr>
            <w:tab/>
          </w:r>
          <w:r>
            <w:rPr>
              <w:noProof/>
            </w:rPr>
            <w:t>Conclusions and considerations for the future</w:t>
          </w:r>
          <w:r>
            <w:rPr>
              <w:noProof/>
            </w:rPr>
            <w:tab/>
          </w:r>
          <w:r>
            <w:rPr>
              <w:noProof/>
            </w:rPr>
            <w:fldChar w:fldCharType="begin"/>
          </w:r>
          <w:r>
            <w:rPr>
              <w:noProof/>
            </w:rPr>
            <w:instrText xml:space="preserve"> PAGEREF _Toc146539771 \h </w:instrText>
          </w:r>
          <w:r>
            <w:rPr>
              <w:noProof/>
            </w:rPr>
          </w:r>
          <w:r>
            <w:rPr>
              <w:noProof/>
            </w:rPr>
            <w:fldChar w:fldCharType="separate"/>
          </w:r>
          <w:r w:rsidR="00DA5B0B">
            <w:rPr>
              <w:noProof/>
            </w:rPr>
            <w:t>39</w:t>
          </w:r>
          <w:r>
            <w:rPr>
              <w:noProof/>
            </w:rPr>
            <w:fldChar w:fldCharType="end"/>
          </w:r>
        </w:p>
        <w:p w:rsidR="006C28CC" w:rsidRDefault="006C28CC" w14:paraId="4752D50B" w14:textId="6612E825">
          <w:pPr>
            <w:pStyle w:val="TOC1"/>
            <w:rPr>
              <w:rFonts w:asciiTheme="minorHAnsi" w:hAnsiTheme="minorHAnsi" w:eastAsiaTheme="minorEastAsia" w:cstheme="minorBidi"/>
              <w:b w:val="0"/>
              <w:bCs w:val="0"/>
              <w:noProof/>
              <w:kern w:val="2"/>
              <w:sz w:val="22"/>
              <w:szCs w:val="22"/>
              <w:lang w:eastAsia="en-GB"/>
              <w14:ligatures w14:val="standardContextual"/>
            </w:rPr>
          </w:pPr>
          <w:r>
            <w:rPr>
              <w:noProof/>
            </w:rPr>
            <w:t>Annex A – Research Questions</w:t>
          </w:r>
          <w:r>
            <w:rPr>
              <w:noProof/>
            </w:rPr>
            <w:tab/>
          </w:r>
          <w:r>
            <w:rPr>
              <w:noProof/>
            </w:rPr>
            <w:fldChar w:fldCharType="begin"/>
          </w:r>
          <w:r>
            <w:rPr>
              <w:noProof/>
            </w:rPr>
            <w:instrText xml:space="preserve"> PAGEREF _Toc146539772 \h </w:instrText>
          </w:r>
          <w:r>
            <w:rPr>
              <w:noProof/>
            </w:rPr>
          </w:r>
          <w:r>
            <w:rPr>
              <w:noProof/>
            </w:rPr>
            <w:fldChar w:fldCharType="separate"/>
          </w:r>
          <w:r w:rsidR="00DA5B0B">
            <w:rPr>
              <w:noProof/>
            </w:rPr>
            <w:t>43</w:t>
          </w:r>
          <w:r>
            <w:rPr>
              <w:noProof/>
            </w:rPr>
            <w:fldChar w:fldCharType="end"/>
          </w:r>
        </w:p>
        <w:p w:rsidR="006C28CC" w:rsidRDefault="006C28CC" w14:paraId="4FC3F3CB" w14:textId="62C6DC92">
          <w:pPr>
            <w:pStyle w:val="TOC1"/>
            <w:rPr>
              <w:rFonts w:asciiTheme="minorHAnsi" w:hAnsiTheme="minorHAnsi" w:eastAsiaTheme="minorEastAsia" w:cstheme="minorBidi"/>
              <w:b w:val="0"/>
              <w:bCs w:val="0"/>
              <w:noProof/>
              <w:kern w:val="2"/>
              <w:sz w:val="22"/>
              <w:szCs w:val="22"/>
              <w:lang w:eastAsia="en-GB"/>
              <w14:ligatures w14:val="standardContextual"/>
            </w:rPr>
          </w:pPr>
          <w:r>
            <w:rPr>
              <w:noProof/>
            </w:rPr>
            <w:t>Annex B – Research Protocol</w:t>
          </w:r>
          <w:r>
            <w:rPr>
              <w:noProof/>
            </w:rPr>
            <w:tab/>
          </w:r>
          <w:r>
            <w:rPr>
              <w:noProof/>
            </w:rPr>
            <w:fldChar w:fldCharType="begin"/>
          </w:r>
          <w:r>
            <w:rPr>
              <w:noProof/>
            </w:rPr>
            <w:instrText xml:space="preserve"> PAGEREF _Toc146539773 \h </w:instrText>
          </w:r>
          <w:r>
            <w:rPr>
              <w:noProof/>
            </w:rPr>
          </w:r>
          <w:r>
            <w:rPr>
              <w:noProof/>
            </w:rPr>
            <w:fldChar w:fldCharType="separate"/>
          </w:r>
          <w:r w:rsidR="00DA5B0B">
            <w:rPr>
              <w:noProof/>
            </w:rPr>
            <w:t>44</w:t>
          </w:r>
          <w:r>
            <w:rPr>
              <w:noProof/>
            </w:rPr>
            <w:fldChar w:fldCharType="end"/>
          </w:r>
        </w:p>
        <w:p w:rsidR="006C28CC" w:rsidRDefault="006C28CC" w14:paraId="2B6C82B2" w14:textId="22780615">
          <w:pPr>
            <w:pStyle w:val="TOC1"/>
            <w:rPr>
              <w:rFonts w:asciiTheme="minorHAnsi" w:hAnsiTheme="minorHAnsi" w:eastAsiaTheme="minorEastAsia" w:cstheme="minorBidi"/>
              <w:b w:val="0"/>
              <w:bCs w:val="0"/>
              <w:noProof/>
              <w:kern w:val="2"/>
              <w:sz w:val="22"/>
              <w:szCs w:val="22"/>
              <w:lang w:eastAsia="en-GB"/>
              <w14:ligatures w14:val="standardContextual"/>
            </w:rPr>
          </w:pPr>
          <w:r>
            <w:rPr>
              <w:noProof/>
            </w:rPr>
            <w:t>Annex C – Theme 1 Detailed results from the literature</w:t>
          </w:r>
          <w:r>
            <w:rPr>
              <w:noProof/>
            </w:rPr>
            <w:tab/>
          </w:r>
          <w:r>
            <w:rPr>
              <w:noProof/>
            </w:rPr>
            <w:fldChar w:fldCharType="begin"/>
          </w:r>
          <w:r>
            <w:rPr>
              <w:noProof/>
            </w:rPr>
            <w:instrText xml:space="preserve"> PAGEREF _Toc146539774 \h </w:instrText>
          </w:r>
          <w:r>
            <w:rPr>
              <w:noProof/>
            </w:rPr>
          </w:r>
          <w:r>
            <w:rPr>
              <w:noProof/>
            </w:rPr>
            <w:fldChar w:fldCharType="separate"/>
          </w:r>
          <w:r w:rsidR="00DA5B0B">
            <w:rPr>
              <w:noProof/>
            </w:rPr>
            <w:t>48</w:t>
          </w:r>
          <w:r>
            <w:rPr>
              <w:noProof/>
            </w:rPr>
            <w:fldChar w:fldCharType="end"/>
          </w:r>
        </w:p>
        <w:p w:rsidR="006C28CC" w:rsidRDefault="006C28CC" w14:paraId="7CDEB93B" w14:textId="741D582A">
          <w:pPr>
            <w:pStyle w:val="TOC1"/>
            <w:rPr>
              <w:rFonts w:asciiTheme="minorHAnsi" w:hAnsiTheme="minorHAnsi" w:eastAsiaTheme="minorEastAsia" w:cstheme="minorBidi"/>
              <w:b w:val="0"/>
              <w:bCs w:val="0"/>
              <w:noProof/>
              <w:kern w:val="2"/>
              <w:sz w:val="22"/>
              <w:szCs w:val="22"/>
              <w:lang w:eastAsia="en-GB"/>
              <w14:ligatures w14:val="standardContextual"/>
            </w:rPr>
          </w:pPr>
          <w:r>
            <w:rPr>
              <w:noProof/>
            </w:rPr>
            <w:t>Annex C – Theme 2 Detailed results from the literature</w:t>
          </w:r>
          <w:r>
            <w:rPr>
              <w:noProof/>
            </w:rPr>
            <w:tab/>
          </w:r>
          <w:r>
            <w:rPr>
              <w:noProof/>
            </w:rPr>
            <w:fldChar w:fldCharType="begin"/>
          </w:r>
          <w:r>
            <w:rPr>
              <w:noProof/>
            </w:rPr>
            <w:instrText xml:space="preserve"> PAGEREF _Toc146539775 \h </w:instrText>
          </w:r>
          <w:r>
            <w:rPr>
              <w:noProof/>
            </w:rPr>
          </w:r>
          <w:r>
            <w:rPr>
              <w:noProof/>
            </w:rPr>
            <w:fldChar w:fldCharType="separate"/>
          </w:r>
          <w:r w:rsidR="00DA5B0B">
            <w:rPr>
              <w:noProof/>
            </w:rPr>
            <w:t>52</w:t>
          </w:r>
          <w:r>
            <w:rPr>
              <w:noProof/>
            </w:rPr>
            <w:fldChar w:fldCharType="end"/>
          </w:r>
        </w:p>
        <w:p w:rsidR="006C28CC" w:rsidRDefault="006C28CC" w14:paraId="07751315" w14:textId="4BD49126">
          <w:pPr>
            <w:pStyle w:val="TOC1"/>
            <w:rPr>
              <w:rFonts w:asciiTheme="minorHAnsi" w:hAnsiTheme="minorHAnsi" w:eastAsiaTheme="minorEastAsia" w:cstheme="minorBidi"/>
              <w:b w:val="0"/>
              <w:bCs w:val="0"/>
              <w:noProof/>
              <w:kern w:val="2"/>
              <w:sz w:val="22"/>
              <w:szCs w:val="22"/>
              <w:lang w:eastAsia="en-GB"/>
              <w14:ligatures w14:val="standardContextual"/>
            </w:rPr>
          </w:pPr>
          <w:r>
            <w:rPr>
              <w:noProof/>
            </w:rPr>
            <w:t>Annex E – Theme 3 Detailed results from the literature</w:t>
          </w:r>
          <w:r>
            <w:rPr>
              <w:noProof/>
            </w:rPr>
            <w:tab/>
          </w:r>
          <w:r>
            <w:rPr>
              <w:noProof/>
            </w:rPr>
            <w:fldChar w:fldCharType="begin"/>
          </w:r>
          <w:r>
            <w:rPr>
              <w:noProof/>
            </w:rPr>
            <w:instrText xml:space="preserve"> PAGEREF _Toc146539776 \h </w:instrText>
          </w:r>
          <w:r>
            <w:rPr>
              <w:noProof/>
            </w:rPr>
          </w:r>
          <w:r>
            <w:rPr>
              <w:noProof/>
            </w:rPr>
            <w:fldChar w:fldCharType="separate"/>
          </w:r>
          <w:r w:rsidR="00DA5B0B">
            <w:rPr>
              <w:noProof/>
            </w:rPr>
            <w:t>54</w:t>
          </w:r>
          <w:r>
            <w:rPr>
              <w:noProof/>
            </w:rPr>
            <w:fldChar w:fldCharType="end"/>
          </w:r>
        </w:p>
        <w:p w:rsidR="006C28CC" w:rsidRDefault="006C28CC" w14:paraId="3169CFD7" w14:textId="584ED0EF">
          <w:pPr>
            <w:pStyle w:val="TOC1"/>
            <w:rPr>
              <w:rFonts w:asciiTheme="minorHAnsi" w:hAnsiTheme="minorHAnsi" w:eastAsiaTheme="minorEastAsia" w:cstheme="minorBidi"/>
              <w:b w:val="0"/>
              <w:bCs w:val="0"/>
              <w:noProof/>
              <w:kern w:val="2"/>
              <w:sz w:val="22"/>
              <w:szCs w:val="22"/>
              <w:lang w:eastAsia="en-GB"/>
              <w14:ligatures w14:val="standardContextual"/>
            </w:rPr>
          </w:pPr>
          <w:r>
            <w:rPr>
              <w:noProof/>
            </w:rPr>
            <w:t>Annex F – Full list of literature included within the review</w:t>
          </w:r>
          <w:r>
            <w:rPr>
              <w:noProof/>
            </w:rPr>
            <w:tab/>
          </w:r>
          <w:r>
            <w:rPr>
              <w:noProof/>
            </w:rPr>
            <w:fldChar w:fldCharType="begin"/>
          </w:r>
          <w:r>
            <w:rPr>
              <w:noProof/>
            </w:rPr>
            <w:instrText xml:space="preserve"> PAGEREF _Toc146539777 \h </w:instrText>
          </w:r>
          <w:r>
            <w:rPr>
              <w:noProof/>
            </w:rPr>
          </w:r>
          <w:r>
            <w:rPr>
              <w:noProof/>
            </w:rPr>
            <w:fldChar w:fldCharType="separate"/>
          </w:r>
          <w:r w:rsidR="00DA5B0B">
            <w:rPr>
              <w:noProof/>
            </w:rPr>
            <w:t>60</w:t>
          </w:r>
          <w:r>
            <w:rPr>
              <w:noProof/>
            </w:rPr>
            <w:fldChar w:fldCharType="end"/>
          </w:r>
        </w:p>
        <w:p w:rsidR="006C28CC" w:rsidRDefault="006C28CC" w14:paraId="43574252" w14:textId="6ACEF9F0">
          <w:pPr>
            <w:pStyle w:val="TOC1"/>
            <w:rPr>
              <w:rFonts w:asciiTheme="minorHAnsi" w:hAnsiTheme="minorHAnsi" w:eastAsiaTheme="minorEastAsia" w:cstheme="minorBidi"/>
              <w:b w:val="0"/>
              <w:bCs w:val="0"/>
              <w:noProof/>
              <w:kern w:val="2"/>
              <w:sz w:val="22"/>
              <w:szCs w:val="22"/>
              <w:lang w:eastAsia="en-GB"/>
              <w14:ligatures w14:val="standardContextual"/>
            </w:rPr>
          </w:pPr>
          <w:r>
            <w:rPr>
              <w:noProof/>
            </w:rPr>
            <w:t>Annex G - Member List of Expert Panel</w:t>
          </w:r>
          <w:r>
            <w:rPr>
              <w:noProof/>
            </w:rPr>
            <w:tab/>
          </w:r>
          <w:r>
            <w:rPr>
              <w:noProof/>
            </w:rPr>
            <w:fldChar w:fldCharType="begin"/>
          </w:r>
          <w:r>
            <w:rPr>
              <w:noProof/>
            </w:rPr>
            <w:instrText xml:space="preserve"> PAGEREF _Toc146539778 \h </w:instrText>
          </w:r>
          <w:r>
            <w:rPr>
              <w:noProof/>
            </w:rPr>
          </w:r>
          <w:r>
            <w:rPr>
              <w:noProof/>
            </w:rPr>
            <w:fldChar w:fldCharType="separate"/>
          </w:r>
          <w:r w:rsidR="00DA5B0B">
            <w:rPr>
              <w:noProof/>
            </w:rPr>
            <w:t>66</w:t>
          </w:r>
          <w:r>
            <w:rPr>
              <w:noProof/>
            </w:rPr>
            <w:fldChar w:fldCharType="end"/>
          </w:r>
        </w:p>
        <w:p w:rsidR="006C28CC" w:rsidRDefault="006C28CC" w14:paraId="05982E1E" w14:textId="2CA7A666">
          <w:pPr>
            <w:pStyle w:val="TOC1"/>
            <w:rPr>
              <w:rFonts w:asciiTheme="minorHAnsi" w:hAnsiTheme="minorHAnsi" w:eastAsiaTheme="minorEastAsia" w:cstheme="minorBidi"/>
              <w:b w:val="0"/>
              <w:bCs w:val="0"/>
              <w:noProof/>
              <w:kern w:val="2"/>
              <w:sz w:val="22"/>
              <w:szCs w:val="22"/>
              <w:lang w:eastAsia="en-GB"/>
              <w14:ligatures w14:val="standardContextual"/>
            </w:rPr>
          </w:pPr>
          <w:r>
            <w:rPr>
              <w:noProof/>
            </w:rPr>
            <w:t>Annex H – List of References</w:t>
          </w:r>
          <w:r>
            <w:rPr>
              <w:noProof/>
            </w:rPr>
            <w:tab/>
          </w:r>
          <w:r>
            <w:rPr>
              <w:noProof/>
            </w:rPr>
            <w:fldChar w:fldCharType="begin"/>
          </w:r>
          <w:r>
            <w:rPr>
              <w:noProof/>
            </w:rPr>
            <w:instrText xml:space="preserve"> PAGEREF _Toc146539779 \h </w:instrText>
          </w:r>
          <w:r>
            <w:rPr>
              <w:noProof/>
            </w:rPr>
          </w:r>
          <w:r>
            <w:rPr>
              <w:noProof/>
            </w:rPr>
            <w:fldChar w:fldCharType="separate"/>
          </w:r>
          <w:r w:rsidR="00DA5B0B">
            <w:rPr>
              <w:noProof/>
            </w:rPr>
            <w:t>67</w:t>
          </w:r>
          <w:r>
            <w:rPr>
              <w:noProof/>
            </w:rPr>
            <w:fldChar w:fldCharType="end"/>
          </w:r>
        </w:p>
        <w:p w:rsidR="00014A4C" w:rsidRDefault="00F2473C" w14:paraId="35D67163" w14:textId="3A2DDEB6">
          <w:r>
            <w:rPr>
              <w:rFonts w:cs="Arial"/>
              <w:szCs w:val="24"/>
            </w:rPr>
            <w:fldChar w:fldCharType="end"/>
          </w:r>
        </w:p>
      </w:sdtContent>
    </w:sdt>
    <w:p w:rsidRPr="00CE77CB" w:rsidR="00CE77CB" w:rsidP="00CE77CB" w:rsidRDefault="00CE77CB" w14:paraId="7788F345" w14:textId="77777777">
      <w:pPr>
        <w:tabs>
          <w:tab w:val="right" w:leader="dot" w:pos="9498"/>
        </w:tabs>
        <w:spacing w:after="100"/>
        <w:rPr>
          <w:noProof/>
          <w:sz w:val="23"/>
        </w:rPr>
      </w:pPr>
    </w:p>
    <w:p w:rsidR="00F2473C" w:rsidP="00CE77CB" w:rsidRDefault="00F2473C" w14:paraId="051EE0FC" w14:textId="77E6E9A2">
      <w:pPr>
        <w:tabs>
          <w:tab w:val="right" w:leader="dot" w:pos="9498"/>
        </w:tabs>
        <w:spacing w:after="100"/>
        <w:rPr>
          <w:noProof/>
          <w:sz w:val="23"/>
        </w:rPr>
      </w:pPr>
    </w:p>
    <w:p w:rsidRPr="00CE77CB" w:rsidR="00F2473C" w:rsidP="00CE77CB" w:rsidRDefault="00F2473C" w14:paraId="709DEE39" w14:textId="77777777">
      <w:pPr>
        <w:tabs>
          <w:tab w:val="right" w:leader="dot" w:pos="9498"/>
        </w:tabs>
        <w:spacing w:after="100"/>
        <w:rPr>
          <w:noProof/>
          <w:sz w:val="23"/>
        </w:rPr>
      </w:pPr>
    </w:p>
    <w:p w:rsidRPr="00512459" w:rsidR="002A251C" w:rsidP="00E358BA" w:rsidRDefault="004A26B4" w14:paraId="7C7DF2A4" w14:textId="68B162F0">
      <w:pPr>
        <w:pStyle w:val="Heading12Col"/>
        <w:framePr w:wrap="around"/>
        <w:spacing w:after="360"/>
      </w:pPr>
      <w:bookmarkStart w:name="_Toc129865410" w:id="1"/>
      <w:bookmarkStart w:name="_Toc129865458" w:id="2"/>
      <w:bookmarkStart w:name="_Toc129953089" w:id="3"/>
      <w:bookmarkStart w:name="_Toc129953120" w:id="4"/>
      <w:bookmarkStart w:name="_Toc129953164" w:id="5"/>
      <w:bookmarkStart w:name="_Toc129953536" w:id="6"/>
      <w:bookmarkStart w:name="_Toc146539766" w:id="7"/>
      <w:bookmarkStart w:name="_Hlk492471081" w:id="8"/>
      <w:r>
        <w:t>G</w:t>
      </w:r>
      <w:r w:rsidR="002A251C">
        <w:t>lossary of Terms</w:t>
      </w:r>
      <w:bookmarkEnd w:id="1"/>
      <w:bookmarkEnd w:id="2"/>
      <w:bookmarkEnd w:id="3"/>
      <w:bookmarkEnd w:id="4"/>
      <w:bookmarkEnd w:id="5"/>
      <w:bookmarkEnd w:id="6"/>
      <w:r w:rsidRPr="00512459" w:rsidR="002A251C">
        <w:tab/>
      </w:r>
      <w:bookmarkEnd w:id="7"/>
    </w:p>
    <w:tbl>
      <w:tblPr>
        <w:tblStyle w:val="TableGrid"/>
        <w:tblW w:w="5000" w:type="pct"/>
        <w:tblLook w:val="04A0" w:firstRow="1" w:lastRow="0" w:firstColumn="1" w:lastColumn="0" w:noHBand="0" w:noVBand="1"/>
      </w:tblPr>
      <w:tblGrid>
        <w:gridCol w:w="1839"/>
        <w:gridCol w:w="7788"/>
      </w:tblGrid>
      <w:tr w:rsidRPr="002A251C" w:rsidR="00015C69" w:rsidTr="000F7A4D" w14:paraId="606382DF" w14:textId="354FAF63">
        <w:trPr>
          <w:tblHeader/>
        </w:trPr>
        <w:tc>
          <w:tcPr>
            <w:tcW w:w="955" w:type="pct"/>
          </w:tcPr>
          <w:p w:rsidRPr="002A251C" w:rsidR="00015C69" w:rsidP="00EC0502" w:rsidRDefault="00015C69" w14:paraId="757916F4" w14:textId="77777777">
            <w:pPr>
              <w:spacing w:after="120" w:line="259" w:lineRule="auto"/>
              <w:rPr>
                <w:rFonts w:eastAsia="Arial" w:cs="Arial"/>
                <w:b/>
                <w:bCs/>
                <w:szCs w:val="24"/>
              </w:rPr>
            </w:pPr>
            <w:r w:rsidRPr="002A251C">
              <w:rPr>
                <w:rFonts w:eastAsia="Arial" w:cs="Arial"/>
                <w:b/>
                <w:bCs/>
                <w:szCs w:val="24"/>
              </w:rPr>
              <w:t>Abbreviation</w:t>
            </w:r>
          </w:p>
        </w:tc>
        <w:tc>
          <w:tcPr>
            <w:tcW w:w="4045" w:type="pct"/>
          </w:tcPr>
          <w:p w:rsidRPr="002A251C" w:rsidR="00015C69" w:rsidP="00EC0502" w:rsidRDefault="00015C69" w14:paraId="41727E49" w14:textId="50FB8B24">
            <w:pPr>
              <w:spacing w:after="120" w:line="259" w:lineRule="auto"/>
              <w:rPr>
                <w:rFonts w:eastAsia="Arial" w:cs="Arial"/>
                <w:b/>
                <w:bCs/>
                <w:szCs w:val="24"/>
              </w:rPr>
            </w:pPr>
            <w:r w:rsidRPr="002A251C">
              <w:rPr>
                <w:rFonts w:eastAsia="Arial" w:cs="Arial"/>
                <w:b/>
                <w:bCs/>
                <w:szCs w:val="24"/>
              </w:rPr>
              <w:t>Definition</w:t>
            </w:r>
            <w:r>
              <w:rPr>
                <w:rFonts w:eastAsia="Arial" w:cs="Arial"/>
                <w:b/>
                <w:bCs/>
                <w:szCs w:val="24"/>
              </w:rPr>
              <w:t xml:space="preserve"> / Explanation</w:t>
            </w:r>
          </w:p>
        </w:tc>
      </w:tr>
      <w:tr w:rsidRPr="002A251C" w:rsidR="00015C69" w:rsidTr="000F7A4D" w14:paraId="774AAA47" w14:textId="77777777">
        <w:tc>
          <w:tcPr>
            <w:tcW w:w="955" w:type="pct"/>
          </w:tcPr>
          <w:p w:rsidRPr="002A251C" w:rsidR="00015C69" w:rsidP="00EC0502" w:rsidRDefault="00015C69" w14:paraId="0328BDDC" w14:textId="5162A67C">
            <w:pPr>
              <w:spacing w:after="120" w:line="259" w:lineRule="auto"/>
              <w:rPr>
                <w:rFonts w:eastAsia="Arial" w:cs="Arial"/>
                <w:b/>
                <w:bCs/>
                <w:szCs w:val="24"/>
              </w:rPr>
            </w:pPr>
            <w:r>
              <w:rPr>
                <w:rFonts w:eastAsia="Arial" w:cs="Arial"/>
                <w:b/>
                <w:bCs/>
                <w:szCs w:val="24"/>
              </w:rPr>
              <w:t>Anchor institution</w:t>
            </w:r>
          </w:p>
        </w:tc>
        <w:tc>
          <w:tcPr>
            <w:tcW w:w="4045" w:type="pct"/>
          </w:tcPr>
          <w:p w:rsidRPr="000F7A4D" w:rsidR="00015C69" w:rsidP="00EC0502" w:rsidRDefault="00015C69" w14:paraId="4D0861E2" w14:textId="036C7789">
            <w:pPr>
              <w:spacing w:after="120" w:line="259" w:lineRule="auto"/>
              <w:rPr>
                <w:rFonts w:eastAsia="Arial" w:cs="Arial"/>
                <w:szCs w:val="24"/>
              </w:rPr>
            </w:pPr>
            <w:r w:rsidRPr="0076419C">
              <w:rPr>
                <w:rFonts w:eastAsia="Arial" w:cs="Arial"/>
                <w:szCs w:val="24"/>
              </w:rPr>
              <w:t>Anchor institutions are large organisations that are unlikely to relocate and have a significant stake in their local area. They have sizeable assets that can be used to support their local community’s health and wellbeing and tackle health inequalities, for example, through procurement, training, employment, professional development, and buildings and land use</w:t>
            </w:r>
            <w:r>
              <w:rPr>
                <w:rFonts w:eastAsia="Arial" w:cs="Arial"/>
                <w:szCs w:val="24"/>
              </w:rPr>
              <w:t xml:space="preserve"> (</w:t>
            </w:r>
            <w:hyperlink w:history="1" r:id="rId17">
              <w:r w:rsidRPr="0076419C">
                <w:rPr>
                  <w:rStyle w:val="Hyperlink"/>
                </w:rPr>
                <w:t>source</w:t>
              </w:r>
            </w:hyperlink>
            <w:r>
              <w:rPr>
                <w:rFonts w:eastAsia="Arial" w:cs="Arial"/>
                <w:szCs w:val="24"/>
              </w:rPr>
              <w:t>)</w:t>
            </w:r>
            <w:r w:rsidRPr="0076419C">
              <w:rPr>
                <w:rFonts w:eastAsia="Arial" w:cs="Arial"/>
                <w:szCs w:val="24"/>
              </w:rPr>
              <w:t>.</w:t>
            </w:r>
          </w:p>
        </w:tc>
      </w:tr>
      <w:tr w:rsidRPr="002A251C" w:rsidR="00015C69" w:rsidTr="000F7A4D" w14:paraId="6E51C833" w14:textId="77777777">
        <w:tc>
          <w:tcPr>
            <w:tcW w:w="955" w:type="pct"/>
          </w:tcPr>
          <w:p w:rsidRPr="002A251C" w:rsidR="00015C69" w:rsidP="00EC0502" w:rsidRDefault="00015C69" w14:paraId="59F2A034" w14:textId="6152B907">
            <w:pPr>
              <w:spacing w:after="120" w:line="259" w:lineRule="auto"/>
              <w:rPr>
                <w:rFonts w:eastAsia="Arial" w:cs="Arial"/>
                <w:b/>
                <w:bCs/>
                <w:szCs w:val="24"/>
              </w:rPr>
            </w:pPr>
            <w:r>
              <w:rPr>
                <w:rFonts w:eastAsia="Arial" w:cs="Arial"/>
                <w:b/>
                <w:bCs/>
                <w:szCs w:val="24"/>
              </w:rPr>
              <w:t>Asset-based / place-based approaches</w:t>
            </w:r>
          </w:p>
        </w:tc>
        <w:tc>
          <w:tcPr>
            <w:tcW w:w="4045" w:type="pct"/>
          </w:tcPr>
          <w:p w:rsidRPr="002A251C" w:rsidR="00015C69" w:rsidP="00EC0502" w:rsidRDefault="00015C69" w14:paraId="4BF8CBEC" w14:textId="2D5EB9E2">
            <w:pPr>
              <w:spacing w:after="120" w:line="259" w:lineRule="auto"/>
              <w:rPr>
                <w:rFonts w:eastAsia="Arial" w:cs="Arial"/>
                <w:b/>
                <w:bCs/>
                <w:szCs w:val="24"/>
              </w:rPr>
            </w:pPr>
            <w:r>
              <w:rPr>
                <w:rFonts w:cs="Arial"/>
                <w:szCs w:val="24"/>
              </w:rPr>
              <w:t xml:space="preserve">The approaches </w:t>
            </w:r>
            <w:r w:rsidRPr="00C57987">
              <w:rPr>
                <w:rFonts w:cs="Arial"/>
                <w:szCs w:val="24"/>
              </w:rPr>
              <w:t>use both physical community assets</w:t>
            </w:r>
            <w:r>
              <w:rPr>
                <w:rFonts w:cs="Arial"/>
                <w:b/>
                <w:bCs/>
                <w:szCs w:val="24"/>
              </w:rPr>
              <w:t xml:space="preserve"> </w:t>
            </w:r>
            <w:r w:rsidRPr="00C57987">
              <w:rPr>
                <w:rFonts w:cs="Arial"/>
                <w:szCs w:val="24"/>
              </w:rPr>
              <w:t xml:space="preserve">and </w:t>
            </w:r>
            <w:r w:rsidRPr="0054518F">
              <w:rPr>
                <w:rFonts w:eastAsia="Arial" w:cs="Arial"/>
                <w:szCs w:val="24"/>
              </w:rPr>
              <w:t>Voluntary Community and Social Enterprise</w:t>
            </w:r>
            <w:r w:rsidRPr="00C57987">
              <w:rPr>
                <w:rFonts w:cs="Arial"/>
                <w:szCs w:val="24"/>
              </w:rPr>
              <w:t xml:space="preserve"> </w:t>
            </w:r>
            <w:r>
              <w:rPr>
                <w:rFonts w:cs="Arial"/>
                <w:szCs w:val="24"/>
              </w:rPr>
              <w:t>(</w:t>
            </w:r>
            <w:r w:rsidRPr="00C57987">
              <w:rPr>
                <w:rFonts w:cs="Arial"/>
                <w:szCs w:val="24"/>
              </w:rPr>
              <w:t>VCSE</w:t>
            </w:r>
            <w:r>
              <w:rPr>
                <w:rFonts w:cs="Arial"/>
                <w:szCs w:val="24"/>
              </w:rPr>
              <w:t>)</w:t>
            </w:r>
            <w:r w:rsidRPr="00C57987">
              <w:rPr>
                <w:rFonts w:cs="Arial"/>
                <w:szCs w:val="24"/>
              </w:rPr>
              <w:t xml:space="preserve"> organisations</w:t>
            </w:r>
            <w:r>
              <w:rPr>
                <w:rFonts w:cs="Arial"/>
                <w:b/>
                <w:bCs/>
                <w:szCs w:val="24"/>
              </w:rPr>
              <w:t xml:space="preserve"> </w:t>
            </w:r>
            <w:r>
              <w:rPr>
                <w:rFonts w:cs="Arial"/>
                <w:szCs w:val="24"/>
              </w:rPr>
              <w:t>to support communities through a range of engagement-based or social-led programmes, with a focus on addressing health inequalities</w:t>
            </w:r>
          </w:p>
        </w:tc>
      </w:tr>
      <w:tr w:rsidRPr="00F74ACF" w:rsidR="00015C69" w:rsidTr="000F7A4D" w14:paraId="03EB4919" w14:textId="50C6CCB5">
        <w:tc>
          <w:tcPr>
            <w:tcW w:w="955" w:type="pct"/>
          </w:tcPr>
          <w:p w:rsidRPr="00790D5C" w:rsidR="00015C69" w:rsidP="00EC0502" w:rsidRDefault="00015C69" w14:paraId="28E3A7DB" w14:textId="06C0C6EE">
            <w:pPr>
              <w:spacing w:after="120" w:line="259" w:lineRule="auto"/>
              <w:rPr>
                <w:rFonts w:eastAsia="Arial" w:cs="Arial"/>
                <w:b/>
                <w:bCs/>
                <w:szCs w:val="24"/>
              </w:rPr>
            </w:pPr>
            <w:r>
              <w:rPr>
                <w:rFonts w:eastAsia="Arial" w:cs="Arial"/>
                <w:b/>
                <w:bCs/>
                <w:szCs w:val="24"/>
              </w:rPr>
              <w:t>BEIS</w:t>
            </w:r>
          </w:p>
        </w:tc>
        <w:tc>
          <w:tcPr>
            <w:tcW w:w="4045" w:type="pct"/>
          </w:tcPr>
          <w:p w:rsidR="00015C69" w:rsidP="00EC0502" w:rsidRDefault="00015C69" w14:paraId="40AB3A60" w14:textId="2C9C53F5">
            <w:pPr>
              <w:spacing w:after="120" w:line="259" w:lineRule="auto"/>
              <w:rPr>
                <w:rFonts w:eastAsia="Arial" w:cs="Arial"/>
                <w:szCs w:val="24"/>
              </w:rPr>
            </w:pPr>
            <w:r w:rsidRPr="00CF2C71">
              <w:rPr>
                <w:szCs w:val="20"/>
              </w:rPr>
              <w:t>Department for Business, Energy &amp; Industrial Strategy</w:t>
            </w:r>
          </w:p>
        </w:tc>
      </w:tr>
      <w:tr w:rsidRPr="00F74ACF" w:rsidR="00015C69" w:rsidTr="000F7A4D" w14:paraId="19F6AD76" w14:textId="4B40262D">
        <w:tc>
          <w:tcPr>
            <w:tcW w:w="955" w:type="pct"/>
          </w:tcPr>
          <w:p w:rsidRPr="00790D5C" w:rsidR="00015C69" w:rsidP="00EC0502" w:rsidRDefault="00015C69" w14:paraId="2976C693" w14:textId="474E3D95">
            <w:pPr>
              <w:spacing w:after="120" w:line="259" w:lineRule="auto"/>
              <w:rPr>
                <w:rFonts w:eastAsia="Arial" w:cs="Arial"/>
                <w:b/>
                <w:szCs w:val="24"/>
              </w:rPr>
            </w:pPr>
            <w:r w:rsidRPr="00790D5C">
              <w:rPr>
                <w:rFonts w:eastAsia="Arial" w:cs="Arial"/>
                <w:b/>
                <w:bCs/>
                <w:szCs w:val="24"/>
              </w:rPr>
              <w:t>CHD</w:t>
            </w:r>
          </w:p>
        </w:tc>
        <w:tc>
          <w:tcPr>
            <w:tcW w:w="4045" w:type="pct"/>
          </w:tcPr>
          <w:p w:rsidRPr="00F74ACF" w:rsidR="00015C69" w:rsidP="00EC0502" w:rsidRDefault="00015C69" w14:paraId="4CACBDB5" w14:textId="1F9D6954">
            <w:pPr>
              <w:spacing w:after="120" w:line="259" w:lineRule="auto"/>
              <w:rPr>
                <w:rFonts w:eastAsia="Arial" w:cs="Arial"/>
                <w:szCs w:val="24"/>
              </w:rPr>
            </w:pPr>
            <w:r w:rsidRPr="003315B3">
              <w:rPr>
                <w:rFonts w:eastAsia="Arial" w:cs="Arial"/>
                <w:szCs w:val="24"/>
              </w:rPr>
              <w:t>Coronary Heart Disease</w:t>
            </w:r>
          </w:p>
        </w:tc>
      </w:tr>
      <w:tr w:rsidRPr="00F74ACF" w:rsidR="00015C69" w:rsidTr="000F7A4D" w14:paraId="1F298B86" w14:textId="77777777">
        <w:tc>
          <w:tcPr>
            <w:tcW w:w="955" w:type="pct"/>
          </w:tcPr>
          <w:p w:rsidRPr="00790D5C" w:rsidR="00015C69" w:rsidP="00EC0502" w:rsidRDefault="00015C69" w14:paraId="7A719352" w14:textId="70A75CA1">
            <w:pPr>
              <w:spacing w:after="120" w:line="259" w:lineRule="auto"/>
              <w:rPr>
                <w:rFonts w:eastAsia="Arial" w:cs="Arial"/>
                <w:b/>
                <w:bCs/>
                <w:szCs w:val="24"/>
              </w:rPr>
            </w:pPr>
            <w:r>
              <w:rPr>
                <w:rFonts w:eastAsia="Arial" w:cs="Arial"/>
                <w:b/>
                <w:bCs/>
                <w:szCs w:val="24"/>
              </w:rPr>
              <w:t>COVID-19</w:t>
            </w:r>
          </w:p>
        </w:tc>
        <w:tc>
          <w:tcPr>
            <w:tcW w:w="4045" w:type="pct"/>
          </w:tcPr>
          <w:p w:rsidRPr="003315B3" w:rsidR="00015C69" w:rsidP="00EC0502" w:rsidRDefault="00015C69" w14:paraId="722DB70F" w14:textId="52634F4C">
            <w:pPr>
              <w:spacing w:after="120" w:line="259" w:lineRule="auto"/>
              <w:rPr>
                <w:rFonts w:eastAsia="Arial" w:cs="Arial"/>
                <w:szCs w:val="24"/>
              </w:rPr>
            </w:pPr>
            <w:r w:rsidRPr="00BF191B">
              <w:rPr>
                <w:rFonts w:eastAsia="Arial" w:cs="Arial"/>
                <w:szCs w:val="24"/>
              </w:rPr>
              <w:t>Coronavirus disease</w:t>
            </w:r>
          </w:p>
        </w:tc>
      </w:tr>
      <w:tr w:rsidRPr="00F74ACF" w:rsidR="00015C69" w:rsidTr="000F7A4D" w14:paraId="7020B189" w14:textId="264D842E">
        <w:tc>
          <w:tcPr>
            <w:tcW w:w="955" w:type="pct"/>
          </w:tcPr>
          <w:p w:rsidRPr="00790D5C" w:rsidR="00015C69" w:rsidP="00EC0502" w:rsidRDefault="00015C69" w14:paraId="43A9E856" w14:textId="6D3C4D26">
            <w:pPr>
              <w:spacing w:after="120" w:line="259" w:lineRule="auto"/>
              <w:rPr>
                <w:rFonts w:eastAsia="Arial" w:cs="Arial"/>
                <w:b/>
                <w:szCs w:val="24"/>
              </w:rPr>
            </w:pPr>
            <w:r w:rsidRPr="00790D5C">
              <w:rPr>
                <w:rFonts w:eastAsia="Arial" w:cs="Arial"/>
                <w:b/>
                <w:szCs w:val="24"/>
              </w:rPr>
              <w:t>CQC</w:t>
            </w:r>
          </w:p>
        </w:tc>
        <w:tc>
          <w:tcPr>
            <w:tcW w:w="4045" w:type="pct"/>
          </w:tcPr>
          <w:p w:rsidRPr="00F74ACF" w:rsidR="00015C69" w:rsidP="00EC0502" w:rsidRDefault="00015C69" w14:paraId="68431244" w14:textId="239F5D62">
            <w:pPr>
              <w:spacing w:after="120" w:line="259" w:lineRule="auto"/>
              <w:rPr>
                <w:rFonts w:eastAsia="Arial" w:cs="Arial"/>
                <w:szCs w:val="24"/>
              </w:rPr>
            </w:pPr>
            <w:r>
              <w:rPr>
                <w:rFonts w:eastAsia="Arial" w:cs="Arial"/>
                <w:szCs w:val="24"/>
              </w:rPr>
              <w:t>Care Quality Commission</w:t>
            </w:r>
          </w:p>
        </w:tc>
      </w:tr>
      <w:tr w:rsidRPr="00F74ACF" w:rsidR="00015C69" w:rsidTr="000F7A4D" w14:paraId="2AD6F2F1" w14:textId="77777777">
        <w:tc>
          <w:tcPr>
            <w:tcW w:w="955" w:type="pct"/>
          </w:tcPr>
          <w:p w:rsidRPr="00912B19" w:rsidR="00015C69" w:rsidP="00EC0502" w:rsidRDefault="00015C69" w14:paraId="4751D3E8" w14:textId="0F942792">
            <w:pPr>
              <w:spacing w:after="120" w:line="259" w:lineRule="auto"/>
              <w:rPr>
                <w:rFonts w:eastAsia="Arial" w:cs="Arial"/>
                <w:b/>
                <w:bCs/>
                <w:szCs w:val="24"/>
              </w:rPr>
            </w:pPr>
            <w:r w:rsidRPr="000F7A4D">
              <w:rPr>
                <w:rFonts w:cs="Arial"/>
                <w:b/>
                <w:bCs/>
                <w:szCs w:val="24"/>
              </w:rPr>
              <w:t>CWBC</w:t>
            </w:r>
          </w:p>
        </w:tc>
        <w:tc>
          <w:tcPr>
            <w:tcW w:w="4045" w:type="pct"/>
          </w:tcPr>
          <w:p w:rsidR="00015C69" w:rsidP="00EC0502" w:rsidRDefault="00015C69" w14:paraId="49FB57C2" w14:textId="77777777">
            <w:pPr>
              <w:spacing w:after="120" w:line="259" w:lineRule="auto"/>
              <w:rPr>
                <w:rFonts w:cs="Arial"/>
                <w:szCs w:val="24"/>
              </w:rPr>
            </w:pPr>
            <w:r>
              <w:rPr>
                <w:rFonts w:cs="Arial"/>
                <w:szCs w:val="24"/>
              </w:rPr>
              <w:t>C</w:t>
            </w:r>
            <w:r w:rsidRPr="00446FA1">
              <w:rPr>
                <w:rFonts w:cs="Arial"/>
                <w:szCs w:val="24"/>
              </w:rPr>
              <w:t xml:space="preserve">ommunity and </w:t>
            </w:r>
            <w:r>
              <w:rPr>
                <w:rFonts w:cs="Arial"/>
                <w:szCs w:val="24"/>
              </w:rPr>
              <w:t>W</w:t>
            </w:r>
            <w:r w:rsidRPr="00446FA1">
              <w:rPr>
                <w:rFonts w:cs="Arial"/>
                <w:szCs w:val="24"/>
              </w:rPr>
              <w:t>ell-</w:t>
            </w:r>
            <w:r>
              <w:rPr>
                <w:rFonts w:cs="Arial"/>
                <w:szCs w:val="24"/>
              </w:rPr>
              <w:t>B</w:t>
            </w:r>
            <w:r w:rsidRPr="00446FA1">
              <w:rPr>
                <w:rFonts w:cs="Arial"/>
                <w:szCs w:val="24"/>
              </w:rPr>
              <w:t xml:space="preserve">eing </w:t>
            </w:r>
            <w:r>
              <w:rPr>
                <w:rFonts w:cs="Arial"/>
                <w:szCs w:val="24"/>
              </w:rPr>
              <w:t>C</w:t>
            </w:r>
            <w:r w:rsidRPr="00446FA1">
              <w:rPr>
                <w:rFonts w:cs="Arial"/>
                <w:szCs w:val="24"/>
              </w:rPr>
              <w:t>hampion</w:t>
            </w:r>
            <w:r>
              <w:rPr>
                <w:rFonts w:cs="Arial"/>
                <w:szCs w:val="24"/>
              </w:rPr>
              <w:t>.</w:t>
            </w:r>
          </w:p>
          <w:p w:rsidR="00015C69" w:rsidP="00EC0502" w:rsidRDefault="00015C69" w14:paraId="293B34DD" w14:textId="64516412">
            <w:pPr>
              <w:spacing w:after="120" w:line="259" w:lineRule="auto"/>
              <w:rPr>
                <w:rFonts w:eastAsia="Arial" w:cs="Arial"/>
                <w:szCs w:val="24"/>
              </w:rPr>
            </w:pPr>
            <w:r w:rsidRPr="00C942D8">
              <w:rPr>
                <w:rFonts w:eastAsia="Arial" w:cs="Arial"/>
                <w:szCs w:val="24"/>
              </w:rPr>
              <w:t>Community</w:t>
            </w:r>
            <w:r>
              <w:rPr>
                <w:rFonts w:eastAsia="Arial" w:cs="Arial"/>
                <w:szCs w:val="24"/>
              </w:rPr>
              <w:t xml:space="preserve"> and wellbeing</w:t>
            </w:r>
            <w:r w:rsidRPr="00C942D8">
              <w:rPr>
                <w:rFonts w:eastAsia="Arial" w:cs="Arial"/>
                <w:szCs w:val="24"/>
              </w:rPr>
              <w:t xml:space="preserve"> champions are community members who volunteer to promote health and wellbeing or improve conditions in their local community. Champions use their social networks and life experience to address barriers to engagement and improve connections between services and communities</w:t>
            </w:r>
            <w:r>
              <w:rPr>
                <w:rFonts w:eastAsia="Arial" w:cs="Arial"/>
                <w:szCs w:val="24"/>
              </w:rPr>
              <w:t xml:space="preserve"> (</w:t>
            </w:r>
            <w:hyperlink w:history="1" r:id="rId18">
              <w:r w:rsidRPr="00C942D8">
                <w:rPr>
                  <w:rStyle w:val="Hyperlink"/>
                  <w:rFonts w:eastAsia="Arial" w:cs="Arial"/>
                  <w:szCs w:val="24"/>
                </w:rPr>
                <w:t>source</w:t>
              </w:r>
            </w:hyperlink>
            <w:r>
              <w:rPr>
                <w:rFonts w:eastAsia="Arial" w:cs="Arial"/>
                <w:szCs w:val="24"/>
              </w:rPr>
              <w:t>).</w:t>
            </w:r>
          </w:p>
        </w:tc>
      </w:tr>
      <w:tr w:rsidRPr="00F74ACF" w:rsidR="00015C69" w:rsidTr="000F7A4D" w14:paraId="7A78CCA8" w14:textId="2482CE8F">
        <w:tc>
          <w:tcPr>
            <w:tcW w:w="955" w:type="pct"/>
          </w:tcPr>
          <w:p w:rsidRPr="00790D5C" w:rsidR="00015C69" w:rsidP="00EC0502" w:rsidRDefault="00015C69" w14:paraId="57127274" w14:textId="626FFD91">
            <w:pPr>
              <w:spacing w:after="120" w:line="259" w:lineRule="auto"/>
              <w:rPr>
                <w:rFonts w:eastAsia="Arial" w:cs="Arial"/>
                <w:b/>
                <w:szCs w:val="24"/>
              </w:rPr>
            </w:pPr>
            <w:r>
              <w:rPr>
                <w:rFonts w:eastAsia="Arial" w:cs="Arial"/>
                <w:b/>
                <w:szCs w:val="24"/>
              </w:rPr>
              <w:t>DfE</w:t>
            </w:r>
          </w:p>
        </w:tc>
        <w:tc>
          <w:tcPr>
            <w:tcW w:w="4045" w:type="pct"/>
          </w:tcPr>
          <w:p w:rsidR="00015C69" w:rsidP="00EC0502" w:rsidRDefault="00015C69" w14:paraId="79BD9E8F" w14:textId="07A27B5E">
            <w:pPr>
              <w:spacing w:after="120" w:line="259" w:lineRule="auto"/>
              <w:rPr>
                <w:rFonts w:eastAsia="Arial" w:cs="Arial"/>
                <w:szCs w:val="24"/>
              </w:rPr>
            </w:pPr>
            <w:r>
              <w:rPr>
                <w:rFonts w:eastAsia="Arial" w:cs="Arial"/>
                <w:szCs w:val="24"/>
              </w:rPr>
              <w:t>Department for Education</w:t>
            </w:r>
          </w:p>
        </w:tc>
      </w:tr>
      <w:tr w:rsidRPr="00F74ACF" w:rsidR="00015C69" w:rsidTr="000F7A4D" w14:paraId="0E95B5DF" w14:textId="77777777">
        <w:tc>
          <w:tcPr>
            <w:tcW w:w="955" w:type="pct"/>
          </w:tcPr>
          <w:p w:rsidR="00015C69" w:rsidP="00EC0502" w:rsidRDefault="00015C69" w14:paraId="7D50115B" w14:textId="6678E82A">
            <w:pPr>
              <w:spacing w:after="120" w:line="259" w:lineRule="auto"/>
              <w:rPr>
                <w:rFonts w:eastAsia="Arial" w:cs="Arial"/>
                <w:b/>
                <w:szCs w:val="24"/>
              </w:rPr>
            </w:pPr>
            <w:r>
              <w:rPr>
                <w:rFonts w:eastAsia="Arial" w:cs="Arial"/>
                <w:b/>
                <w:szCs w:val="24"/>
              </w:rPr>
              <w:t>Engagement-based approaches</w:t>
            </w:r>
          </w:p>
        </w:tc>
        <w:tc>
          <w:tcPr>
            <w:tcW w:w="4045" w:type="pct"/>
          </w:tcPr>
          <w:p w:rsidR="00015C69" w:rsidP="00EC0502" w:rsidRDefault="00015C69" w14:paraId="03B6CDF1" w14:textId="6AB8D2E5">
            <w:pPr>
              <w:spacing w:after="120" w:line="259" w:lineRule="auto"/>
              <w:rPr>
                <w:rFonts w:eastAsia="Arial" w:cs="Arial"/>
                <w:szCs w:val="24"/>
              </w:rPr>
            </w:pPr>
            <w:r>
              <w:rPr>
                <w:rFonts w:cs="Arial"/>
                <w:szCs w:val="24"/>
              </w:rPr>
              <w:t xml:space="preserve">Approaches that use community navigators (ie local area co-ordinators). The navigator role is often to co-produce or co-develop tailored </w:t>
            </w:r>
            <w:r w:rsidR="00FE018E">
              <w:rPr>
                <w:rFonts w:cs="Arial"/>
                <w:szCs w:val="24"/>
              </w:rPr>
              <w:t>method</w:t>
            </w:r>
            <w:r>
              <w:rPr>
                <w:rFonts w:cs="Arial"/>
                <w:szCs w:val="24"/>
              </w:rPr>
              <w:t>s for either whole communities or individuals as a mechanism of reducing health inequalities.</w:t>
            </w:r>
          </w:p>
        </w:tc>
      </w:tr>
      <w:tr w:rsidRPr="00F74ACF" w:rsidR="00015C69" w:rsidTr="000F7A4D" w14:paraId="331F1845" w14:textId="77777777">
        <w:tc>
          <w:tcPr>
            <w:tcW w:w="955" w:type="pct"/>
          </w:tcPr>
          <w:p w:rsidR="00015C69" w:rsidP="00EC0502" w:rsidRDefault="00015C69" w14:paraId="6F79CC2D" w14:textId="5CD4C184">
            <w:pPr>
              <w:spacing w:after="120" w:line="259" w:lineRule="auto"/>
              <w:rPr>
                <w:rFonts w:eastAsia="Arial" w:cs="Arial"/>
                <w:b/>
                <w:szCs w:val="24"/>
              </w:rPr>
            </w:pPr>
            <w:r>
              <w:rPr>
                <w:rFonts w:eastAsia="Arial" w:cs="Arial"/>
                <w:b/>
                <w:szCs w:val="24"/>
              </w:rPr>
              <w:t>GP</w:t>
            </w:r>
          </w:p>
        </w:tc>
        <w:tc>
          <w:tcPr>
            <w:tcW w:w="4045" w:type="pct"/>
          </w:tcPr>
          <w:p w:rsidR="00015C69" w:rsidP="00EC0502" w:rsidRDefault="00015C69" w14:paraId="2E9ABF5A" w14:textId="201E92F0">
            <w:pPr>
              <w:spacing w:after="120" w:line="259" w:lineRule="auto"/>
              <w:rPr>
                <w:rFonts w:eastAsia="Arial" w:cs="Arial"/>
                <w:szCs w:val="24"/>
              </w:rPr>
            </w:pPr>
            <w:r>
              <w:rPr>
                <w:rFonts w:eastAsia="Arial" w:cs="Arial"/>
                <w:szCs w:val="24"/>
              </w:rPr>
              <w:t>General Practitioner</w:t>
            </w:r>
          </w:p>
        </w:tc>
      </w:tr>
      <w:tr w:rsidRPr="002A251C" w:rsidR="00015C69" w:rsidTr="000F7A4D" w14:paraId="4C27741E" w14:textId="7791927D">
        <w:tc>
          <w:tcPr>
            <w:tcW w:w="955" w:type="pct"/>
          </w:tcPr>
          <w:p w:rsidRPr="00790D5C" w:rsidR="00015C69" w:rsidP="00EC0502" w:rsidRDefault="00015C69" w14:paraId="79D31487" w14:textId="03CA3178">
            <w:pPr>
              <w:spacing w:after="120" w:line="259" w:lineRule="auto"/>
              <w:rPr>
                <w:rFonts w:eastAsia="Arial" w:cs="Arial"/>
                <w:b/>
                <w:bCs/>
                <w:szCs w:val="24"/>
              </w:rPr>
            </w:pPr>
            <w:r>
              <w:rPr>
                <w:rFonts w:eastAsia="Arial" w:cs="Arial"/>
                <w:b/>
                <w:bCs/>
                <w:szCs w:val="24"/>
              </w:rPr>
              <w:t>GRADE</w:t>
            </w:r>
          </w:p>
        </w:tc>
        <w:tc>
          <w:tcPr>
            <w:tcW w:w="4045" w:type="pct"/>
          </w:tcPr>
          <w:p w:rsidR="00015C69" w:rsidP="00EC0502" w:rsidRDefault="00015C69" w14:paraId="269A38B0" w14:textId="77777777">
            <w:pPr>
              <w:spacing w:after="120" w:line="259" w:lineRule="auto"/>
              <w:rPr>
                <w:rFonts w:eastAsia="Arial" w:cs="Arial"/>
                <w:szCs w:val="24"/>
              </w:rPr>
            </w:pPr>
            <w:r w:rsidRPr="00C6598C">
              <w:rPr>
                <w:rFonts w:eastAsia="Arial" w:cs="Arial"/>
                <w:szCs w:val="24"/>
              </w:rPr>
              <w:t>Grading of Recommendations, Assessment, Development, and Evaluations</w:t>
            </w:r>
            <w:r>
              <w:rPr>
                <w:rFonts w:eastAsia="Arial" w:cs="Arial"/>
                <w:szCs w:val="24"/>
              </w:rPr>
              <w:t xml:space="preserve"> </w:t>
            </w:r>
          </w:p>
          <w:p w:rsidR="00015C69" w:rsidP="00EC0502" w:rsidRDefault="00015C69" w14:paraId="31C776DB" w14:textId="45B0B19A">
            <w:pPr>
              <w:spacing w:after="120" w:line="259" w:lineRule="auto"/>
              <w:rPr>
                <w:rFonts w:eastAsia="Arial" w:cs="Arial"/>
                <w:szCs w:val="24"/>
              </w:rPr>
            </w:pPr>
            <w:r>
              <w:rPr>
                <w:rFonts w:eastAsia="Arial" w:cs="Arial"/>
                <w:szCs w:val="24"/>
              </w:rPr>
              <w:t>A</w:t>
            </w:r>
            <w:r w:rsidRPr="007375E6">
              <w:rPr>
                <w:rFonts w:eastAsia="Arial" w:cs="Arial"/>
                <w:szCs w:val="24"/>
              </w:rPr>
              <w:t xml:space="preserve"> systematic and transparent approach for rating the certainty of evidence in systematic reviews and clinical practice guidelines, and for developing and determining the strength of clinical practice recommendations</w:t>
            </w:r>
            <w:r>
              <w:rPr>
                <w:rFonts w:eastAsia="Arial" w:cs="Arial"/>
                <w:szCs w:val="24"/>
              </w:rPr>
              <w:t xml:space="preserve"> (</w:t>
            </w:r>
            <w:hyperlink w:history="1" r:id="rId19">
              <w:r w:rsidRPr="00C5009B">
                <w:rPr>
                  <w:rStyle w:val="Hyperlink"/>
                  <w:rFonts w:eastAsia="Arial" w:cs="Arial"/>
                  <w:szCs w:val="24"/>
                </w:rPr>
                <w:t>source</w:t>
              </w:r>
            </w:hyperlink>
            <w:r>
              <w:rPr>
                <w:rFonts w:eastAsia="Arial" w:cs="Arial"/>
                <w:szCs w:val="24"/>
              </w:rPr>
              <w:t>).</w:t>
            </w:r>
          </w:p>
        </w:tc>
      </w:tr>
      <w:tr w:rsidRPr="002A251C" w:rsidR="00015C69" w:rsidTr="000F7A4D" w14:paraId="73A1E7B9" w14:textId="72D6718A">
        <w:tc>
          <w:tcPr>
            <w:tcW w:w="955" w:type="pct"/>
          </w:tcPr>
          <w:p w:rsidRPr="00790D5C" w:rsidR="00015C69" w:rsidP="00EC0502" w:rsidRDefault="00015C69" w14:paraId="0F539BFF" w14:textId="306BEF54">
            <w:pPr>
              <w:spacing w:after="120" w:line="259" w:lineRule="auto"/>
              <w:rPr>
                <w:rFonts w:eastAsia="Arial" w:cs="Arial"/>
                <w:b/>
                <w:bCs/>
                <w:szCs w:val="24"/>
              </w:rPr>
            </w:pPr>
            <w:r>
              <w:rPr>
                <w:rFonts w:eastAsia="Arial" w:cs="Arial"/>
                <w:b/>
                <w:bCs/>
                <w:szCs w:val="24"/>
              </w:rPr>
              <w:t>HES</w:t>
            </w:r>
          </w:p>
        </w:tc>
        <w:tc>
          <w:tcPr>
            <w:tcW w:w="4045" w:type="pct"/>
          </w:tcPr>
          <w:p w:rsidR="00015C69" w:rsidP="00EC0502" w:rsidRDefault="00015C69" w14:paraId="15944182" w14:textId="37C93964">
            <w:pPr>
              <w:spacing w:after="120" w:line="259" w:lineRule="auto"/>
              <w:rPr>
                <w:rFonts w:eastAsia="Arial" w:cs="Arial"/>
                <w:szCs w:val="24"/>
              </w:rPr>
            </w:pPr>
            <w:r w:rsidRPr="00790D5C">
              <w:rPr>
                <w:rFonts w:eastAsia="Arial" w:cs="Arial"/>
                <w:szCs w:val="24"/>
              </w:rPr>
              <w:t>Hospital Episode Statistics</w:t>
            </w:r>
          </w:p>
        </w:tc>
      </w:tr>
      <w:tr w:rsidRPr="002A251C" w:rsidR="00015C69" w:rsidTr="000F7A4D" w14:paraId="3A4444B6" w14:textId="3EBF5D8B">
        <w:tc>
          <w:tcPr>
            <w:tcW w:w="955" w:type="pct"/>
          </w:tcPr>
          <w:p w:rsidRPr="00790D5C" w:rsidR="00015C69" w:rsidP="00EC0502" w:rsidRDefault="00015C69" w14:paraId="3382EE8F" w14:textId="62F8B819">
            <w:pPr>
              <w:spacing w:after="120" w:line="259" w:lineRule="auto"/>
              <w:rPr>
                <w:rFonts w:eastAsia="Arial" w:cs="Arial"/>
                <w:b/>
                <w:bCs/>
                <w:szCs w:val="24"/>
              </w:rPr>
            </w:pPr>
            <w:r>
              <w:rPr>
                <w:rFonts w:eastAsia="Arial" w:cs="Arial"/>
                <w:b/>
                <w:bCs/>
                <w:szCs w:val="24"/>
              </w:rPr>
              <w:t>HLA</w:t>
            </w:r>
          </w:p>
        </w:tc>
        <w:tc>
          <w:tcPr>
            <w:tcW w:w="4045" w:type="pct"/>
          </w:tcPr>
          <w:p w:rsidR="00015C69" w:rsidP="00EC0502" w:rsidRDefault="00015C69" w14:paraId="484E75F1" w14:textId="77777777">
            <w:pPr>
              <w:spacing w:after="120" w:line="259" w:lineRule="auto"/>
              <w:rPr>
                <w:rFonts w:eastAsia="Arial" w:cs="Arial"/>
                <w:szCs w:val="24"/>
              </w:rPr>
            </w:pPr>
            <w:r>
              <w:rPr>
                <w:rFonts w:eastAsia="Arial" w:cs="Arial"/>
                <w:szCs w:val="24"/>
              </w:rPr>
              <w:t>Healthy Living Approach</w:t>
            </w:r>
          </w:p>
          <w:p w:rsidR="00015C69" w:rsidP="00EC0502" w:rsidRDefault="00015C69" w14:paraId="4106BB17" w14:textId="395C3AD9">
            <w:pPr>
              <w:spacing w:after="120" w:line="259" w:lineRule="auto"/>
              <w:rPr>
                <w:rFonts w:eastAsia="Arial" w:cs="Arial"/>
                <w:szCs w:val="24"/>
              </w:rPr>
            </w:pPr>
            <w:r>
              <w:rPr>
                <w:rFonts w:eastAsia="Arial" w:cs="Arial"/>
                <w:szCs w:val="24"/>
              </w:rPr>
              <w:t>A</w:t>
            </w:r>
            <w:r w:rsidRPr="00956DE1">
              <w:rPr>
                <w:rFonts w:eastAsia="Arial" w:cs="Arial"/>
                <w:szCs w:val="24"/>
              </w:rPr>
              <w:t xml:space="preserve"> community-led process of identifying and addressing issues affecting local health and wellbeing</w:t>
            </w:r>
            <w:r>
              <w:rPr>
                <w:rFonts w:eastAsia="Arial" w:cs="Arial"/>
                <w:szCs w:val="24"/>
              </w:rPr>
              <w:t xml:space="preserve">. </w:t>
            </w:r>
          </w:p>
        </w:tc>
      </w:tr>
      <w:tr w:rsidRPr="002A251C" w:rsidR="00015C69" w:rsidTr="000F7A4D" w14:paraId="0B5DB2EA" w14:textId="6247301D">
        <w:tc>
          <w:tcPr>
            <w:tcW w:w="955" w:type="pct"/>
          </w:tcPr>
          <w:p w:rsidRPr="00790D5C" w:rsidR="00015C69" w:rsidP="00EC0502" w:rsidRDefault="00015C69" w14:paraId="19A24BC0" w14:textId="19BAC34E">
            <w:pPr>
              <w:spacing w:after="120" w:line="259" w:lineRule="auto"/>
              <w:rPr>
                <w:rFonts w:eastAsia="Arial" w:cs="Arial"/>
                <w:b/>
                <w:szCs w:val="24"/>
              </w:rPr>
            </w:pPr>
            <w:r w:rsidRPr="00790D5C">
              <w:rPr>
                <w:rFonts w:eastAsia="Arial" w:cs="Arial"/>
                <w:b/>
                <w:szCs w:val="24"/>
              </w:rPr>
              <w:t>ICS</w:t>
            </w:r>
          </w:p>
        </w:tc>
        <w:tc>
          <w:tcPr>
            <w:tcW w:w="4045" w:type="pct"/>
          </w:tcPr>
          <w:p w:rsidR="00015C69" w:rsidP="00EC0502" w:rsidRDefault="00015C69" w14:paraId="1E90E133" w14:textId="77777777">
            <w:pPr>
              <w:spacing w:after="120" w:line="259" w:lineRule="auto"/>
              <w:rPr>
                <w:rFonts w:eastAsia="Arial" w:cs="Arial"/>
                <w:szCs w:val="24"/>
              </w:rPr>
            </w:pPr>
            <w:r>
              <w:rPr>
                <w:rFonts w:eastAsia="Arial" w:cs="Arial"/>
                <w:szCs w:val="24"/>
              </w:rPr>
              <w:t>Integrated Care System</w:t>
            </w:r>
          </w:p>
          <w:p w:rsidRPr="00F74ACF" w:rsidR="00015C69" w:rsidP="00EC0502" w:rsidRDefault="00015C69" w14:paraId="0240CF4F" w14:textId="4C35D18D">
            <w:pPr>
              <w:spacing w:after="120" w:line="259" w:lineRule="auto"/>
              <w:rPr>
                <w:rFonts w:eastAsia="Arial" w:cs="Arial"/>
                <w:szCs w:val="24"/>
              </w:rPr>
            </w:pPr>
            <w:r>
              <w:rPr>
                <w:rFonts w:eastAsia="Arial" w:cs="Arial"/>
                <w:szCs w:val="24"/>
              </w:rPr>
              <w:t>A</w:t>
            </w:r>
            <w:r w:rsidRPr="006B7103">
              <w:rPr>
                <w:rFonts w:eastAsia="Arial" w:cs="Arial"/>
                <w:szCs w:val="24"/>
              </w:rPr>
              <w:t xml:space="preserve"> partnership of organisations that come together to plan and deliver joined up health and care services, and to improve the lives of people who live and work in their area</w:t>
            </w:r>
            <w:r>
              <w:rPr>
                <w:rFonts w:eastAsia="Arial" w:cs="Arial"/>
                <w:szCs w:val="24"/>
              </w:rPr>
              <w:t xml:space="preserve"> (</w:t>
            </w:r>
            <w:hyperlink w:history="1" r:id="rId20">
              <w:r w:rsidRPr="006B7103">
                <w:rPr>
                  <w:rStyle w:val="Hyperlink"/>
                  <w:rFonts w:eastAsia="Arial" w:cs="Arial"/>
                  <w:szCs w:val="24"/>
                </w:rPr>
                <w:t>source</w:t>
              </w:r>
            </w:hyperlink>
            <w:r>
              <w:rPr>
                <w:rFonts w:eastAsia="Arial" w:cs="Arial"/>
                <w:szCs w:val="24"/>
              </w:rPr>
              <w:t>).</w:t>
            </w:r>
          </w:p>
        </w:tc>
      </w:tr>
      <w:tr w:rsidRPr="002A251C" w:rsidR="00015C69" w:rsidTr="000F7A4D" w14:paraId="6FE828CE" w14:textId="77777777">
        <w:tc>
          <w:tcPr>
            <w:tcW w:w="955" w:type="pct"/>
          </w:tcPr>
          <w:p w:rsidRPr="00790D5C" w:rsidR="00015C69" w:rsidP="00EC0502" w:rsidRDefault="00015C69" w14:paraId="0660F192" w14:textId="7F3FCA44">
            <w:pPr>
              <w:spacing w:after="120" w:line="259" w:lineRule="auto"/>
              <w:rPr>
                <w:rFonts w:eastAsia="Arial" w:cs="Arial"/>
                <w:b/>
                <w:szCs w:val="24"/>
              </w:rPr>
            </w:pPr>
            <w:r>
              <w:rPr>
                <w:rFonts w:eastAsia="Arial" w:cs="Arial"/>
                <w:b/>
                <w:szCs w:val="24"/>
              </w:rPr>
              <w:t>IMD</w:t>
            </w:r>
          </w:p>
        </w:tc>
        <w:tc>
          <w:tcPr>
            <w:tcW w:w="4045" w:type="pct"/>
          </w:tcPr>
          <w:p w:rsidR="00015C69" w:rsidP="00EC0502" w:rsidRDefault="00015C69" w14:paraId="70A97CC9" w14:textId="77777777">
            <w:pPr>
              <w:spacing w:after="120" w:line="259" w:lineRule="auto"/>
            </w:pPr>
            <w:r>
              <w:t>I</w:t>
            </w:r>
            <w:r w:rsidRPr="0060417B">
              <w:t xml:space="preserve">ndices of </w:t>
            </w:r>
            <w:r>
              <w:t>Multiple D</w:t>
            </w:r>
            <w:r w:rsidRPr="0060417B">
              <w:t>eprivation</w:t>
            </w:r>
          </w:p>
          <w:p w:rsidR="00015C69" w:rsidP="00EC0502" w:rsidRDefault="00015C69" w14:paraId="50201B25" w14:textId="0715C298">
            <w:pPr>
              <w:spacing w:after="120" w:line="259" w:lineRule="auto"/>
              <w:rPr>
                <w:rFonts w:eastAsia="Arial" w:cs="Arial"/>
                <w:szCs w:val="24"/>
              </w:rPr>
            </w:pPr>
            <w:r>
              <w:rPr>
                <w:rFonts w:eastAsia="Arial" w:cs="Arial"/>
                <w:szCs w:val="24"/>
              </w:rPr>
              <w:t>A</w:t>
            </w:r>
            <w:r w:rsidRPr="00E848EE">
              <w:rPr>
                <w:rFonts w:eastAsia="Arial" w:cs="Arial"/>
                <w:szCs w:val="24"/>
              </w:rPr>
              <w:t xml:space="preserve"> measure of relative deprivation for small, fixed geographic areas of the UK</w:t>
            </w:r>
            <w:r>
              <w:rPr>
                <w:rFonts w:eastAsia="Arial" w:cs="Arial"/>
                <w:szCs w:val="24"/>
              </w:rPr>
              <w:t>.</w:t>
            </w:r>
          </w:p>
        </w:tc>
      </w:tr>
      <w:tr w:rsidRPr="002A251C" w:rsidR="00015C69" w:rsidTr="000F7A4D" w14:paraId="23A741EA" w14:textId="0A56BDCB">
        <w:tc>
          <w:tcPr>
            <w:tcW w:w="955" w:type="pct"/>
          </w:tcPr>
          <w:p w:rsidRPr="00790D5C" w:rsidR="00015C69" w:rsidP="00EC0502" w:rsidRDefault="00015C69" w14:paraId="230F7AC1" w14:textId="5DE540D4">
            <w:pPr>
              <w:spacing w:after="120" w:line="259" w:lineRule="auto"/>
              <w:rPr>
                <w:rFonts w:eastAsia="Arial" w:cs="Arial"/>
                <w:b/>
                <w:bCs/>
                <w:szCs w:val="24"/>
              </w:rPr>
            </w:pPr>
            <w:r>
              <w:rPr>
                <w:rFonts w:eastAsia="Arial" w:cs="Arial"/>
                <w:b/>
                <w:bCs/>
                <w:szCs w:val="24"/>
              </w:rPr>
              <w:t>LSOA</w:t>
            </w:r>
          </w:p>
        </w:tc>
        <w:tc>
          <w:tcPr>
            <w:tcW w:w="4045" w:type="pct"/>
          </w:tcPr>
          <w:p w:rsidR="00015C69" w:rsidP="00EC0502" w:rsidRDefault="00015C69" w14:paraId="74CBCCDF" w14:textId="77777777">
            <w:pPr>
              <w:spacing w:after="120" w:line="259" w:lineRule="auto"/>
              <w:rPr>
                <w:rFonts w:eastAsia="Arial" w:cs="Arial"/>
                <w:szCs w:val="24"/>
              </w:rPr>
            </w:pPr>
            <w:r w:rsidRPr="00790D5C">
              <w:rPr>
                <w:rFonts w:eastAsia="Arial" w:cs="Arial"/>
                <w:szCs w:val="24"/>
              </w:rPr>
              <w:t>Lower layer Super Output Area</w:t>
            </w:r>
            <w:r>
              <w:rPr>
                <w:rFonts w:eastAsia="Arial" w:cs="Arial"/>
                <w:szCs w:val="24"/>
              </w:rPr>
              <w:t>s</w:t>
            </w:r>
          </w:p>
          <w:p w:rsidR="00015C69" w:rsidP="00EC0502" w:rsidRDefault="00015C69" w14:paraId="23E502C0" w14:textId="125C4059">
            <w:pPr>
              <w:spacing w:after="120" w:line="259" w:lineRule="auto"/>
              <w:rPr>
                <w:rFonts w:eastAsia="Arial" w:cs="Arial"/>
                <w:szCs w:val="24"/>
              </w:rPr>
            </w:pPr>
            <w:r>
              <w:rPr>
                <w:rFonts w:eastAsia="Arial" w:cs="Arial"/>
                <w:szCs w:val="24"/>
              </w:rPr>
              <w:t>A</w:t>
            </w:r>
            <w:r w:rsidRPr="00E848EE">
              <w:rPr>
                <w:rFonts w:eastAsia="Arial" w:cs="Arial"/>
                <w:szCs w:val="24"/>
              </w:rPr>
              <w:t xml:space="preserve"> geographic hierarchy designed to improve the reporting of small area statistics in England and Wales.</w:t>
            </w:r>
          </w:p>
        </w:tc>
      </w:tr>
      <w:tr w:rsidRPr="002A251C" w:rsidR="00015C69" w:rsidTr="000F7A4D" w14:paraId="7B3E70C5" w14:textId="77777777">
        <w:tc>
          <w:tcPr>
            <w:tcW w:w="955" w:type="pct"/>
          </w:tcPr>
          <w:p w:rsidR="00015C69" w:rsidP="00EC0502" w:rsidRDefault="00015C69" w14:paraId="4219D156" w14:textId="5108714D">
            <w:pPr>
              <w:spacing w:after="120" w:line="259" w:lineRule="auto"/>
              <w:rPr>
                <w:rFonts w:eastAsia="Arial" w:cs="Arial"/>
                <w:b/>
                <w:bCs/>
                <w:szCs w:val="24"/>
              </w:rPr>
            </w:pPr>
            <w:r>
              <w:rPr>
                <w:rFonts w:eastAsia="Arial" w:cs="Arial"/>
                <w:b/>
                <w:bCs/>
                <w:szCs w:val="24"/>
              </w:rPr>
              <w:t>NACR</w:t>
            </w:r>
          </w:p>
        </w:tc>
        <w:tc>
          <w:tcPr>
            <w:tcW w:w="4045" w:type="pct"/>
          </w:tcPr>
          <w:p w:rsidRPr="00790D5C" w:rsidR="00015C69" w:rsidP="00EC0502" w:rsidRDefault="00015C69" w14:paraId="7380B205" w14:textId="2CBD0286">
            <w:pPr>
              <w:spacing w:after="120" w:line="259" w:lineRule="auto"/>
              <w:rPr>
                <w:rFonts w:eastAsia="Arial" w:cs="Arial"/>
                <w:szCs w:val="24"/>
              </w:rPr>
            </w:pPr>
            <w:r w:rsidRPr="0098084C">
              <w:rPr>
                <w:color w:val="2C2822"/>
                <w:szCs w:val="20"/>
              </w:rPr>
              <w:t>National Audit of Cardiac Rehabilitation</w:t>
            </w:r>
          </w:p>
        </w:tc>
      </w:tr>
      <w:tr w:rsidRPr="002A251C" w:rsidR="00015C69" w:rsidTr="000F7A4D" w14:paraId="71355815" w14:textId="77777777">
        <w:tc>
          <w:tcPr>
            <w:tcW w:w="955" w:type="pct"/>
          </w:tcPr>
          <w:p w:rsidR="00015C69" w:rsidP="00EC0502" w:rsidRDefault="00015C69" w14:paraId="5B84A4B1" w14:textId="46DE8219">
            <w:pPr>
              <w:spacing w:after="120" w:line="259" w:lineRule="auto"/>
              <w:rPr>
                <w:rFonts w:eastAsia="Arial" w:cs="Arial"/>
                <w:b/>
                <w:bCs/>
                <w:szCs w:val="24"/>
              </w:rPr>
            </w:pPr>
            <w:r>
              <w:rPr>
                <w:rFonts w:eastAsia="Arial" w:cs="Arial"/>
                <w:b/>
                <w:bCs/>
                <w:szCs w:val="24"/>
              </w:rPr>
              <w:t>NHS</w:t>
            </w:r>
          </w:p>
        </w:tc>
        <w:tc>
          <w:tcPr>
            <w:tcW w:w="4045" w:type="pct"/>
          </w:tcPr>
          <w:p w:rsidRPr="00790D5C" w:rsidR="00015C69" w:rsidP="00EC0502" w:rsidRDefault="00015C69" w14:paraId="0AAEFFD5" w14:textId="3ED8A564">
            <w:pPr>
              <w:spacing w:after="120" w:line="259" w:lineRule="auto"/>
              <w:rPr>
                <w:rFonts w:eastAsia="Arial" w:cs="Arial"/>
                <w:szCs w:val="24"/>
              </w:rPr>
            </w:pPr>
            <w:r>
              <w:rPr>
                <w:rFonts w:eastAsia="Arial" w:cs="Arial"/>
                <w:szCs w:val="24"/>
              </w:rPr>
              <w:t>National Health Service</w:t>
            </w:r>
          </w:p>
        </w:tc>
      </w:tr>
      <w:tr w:rsidRPr="002A251C" w:rsidR="00015C69" w:rsidTr="000F7A4D" w14:paraId="2ED516C0" w14:textId="0DCE83EC">
        <w:tc>
          <w:tcPr>
            <w:tcW w:w="955" w:type="pct"/>
          </w:tcPr>
          <w:p w:rsidRPr="00790D5C" w:rsidR="00015C69" w:rsidP="00EC0502" w:rsidRDefault="00015C69" w14:paraId="127F4607" w14:textId="6E0FA426">
            <w:pPr>
              <w:spacing w:after="120" w:line="259" w:lineRule="auto"/>
              <w:rPr>
                <w:rFonts w:eastAsia="Arial" w:cs="Arial"/>
                <w:b/>
                <w:szCs w:val="24"/>
              </w:rPr>
            </w:pPr>
            <w:r>
              <w:rPr>
                <w:rFonts w:eastAsia="Arial" w:cs="Arial"/>
                <w:b/>
                <w:bCs/>
                <w:szCs w:val="24"/>
              </w:rPr>
              <w:t>OHID</w:t>
            </w:r>
          </w:p>
        </w:tc>
        <w:tc>
          <w:tcPr>
            <w:tcW w:w="4045" w:type="pct"/>
          </w:tcPr>
          <w:p w:rsidRPr="00F74ACF" w:rsidR="00015C69" w:rsidP="00EC0502" w:rsidRDefault="00015C69" w14:paraId="37AE252E" w14:textId="69193944">
            <w:pPr>
              <w:spacing w:after="120" w:line="259" w:lineRule="auto"/>
              <w:rPr>
                <w:rFonts w:eastAsia="Arial" w:cs="Arial"/>
                <w:szCs w:val="24"/>
              </w:rPr>
            </w:pPr>
            <w:r w:rsidRPr="00790D5C">
              <w:rPr>
                <w:rFonts w:eastAsia="Arial" w:cs="Arial"/>
                <w:szCs w:val="24"/>
              </w:rPr>
              <w:t>Office of Health Improvement and Disparities</w:t>
            </w:r>
          </w:p>
        </w:tc>
      </w:tr>
      <w:tr w:rsidRPr="002A251C" w:rsidR="00015C69" w:rsidTr="000F7A4D" w14:paraId="4C919A48" w14:textId="29124F9C">
        <w:tc>
          <w:tcPr>
            <w:tcW w:w="955" w:type="pct"/>
          </w:tcPr>
          <w:p w:rsidRPr="002A251C" w:rsidR="00015C69" w:rsidP="00EC0502" w:rsidRDefault="00015C69" w14:paraId="50B79C75" w14:textId="506517D1">
            <w:pPr>
              <w:spacing w:after="120" w:line="259" w:lineRule="auto"/>
              <w:rPr>
                <w:rFonts w:eastAsia="Arial" w:cs="Arial"/>
                <w:b/>
                <w:bCs/>
                <w:szCs w:val="24"/>
              </w:rPr>
            </w:pPr>
            <w:r>
              <w:rPr>
                <w:rFonts w:eastAsia="Arial" w:cs="Arial"/>
                <w:b/>
                <w:bCs/>
                <w:szCs w:val="24"/>
              </w:rPr>
              <w:t>ONS</w:t>
            </w:r>
          </w:p>
        </w:tc>
        <w:tc>
          <w:tcPr>
            <w:tcW w:w="4045" w:type="pct"/>
          </w:tcPr>
          <w:p w:rsidRPr="003315B3" w:rsidR="00015C69" w:rsidP="00EC0502" w:rsidRDefault="00015C69" w14:paraId="2EFA1F5A" w14:textId="514F8D48">
            <w:pPr>
              <w:spacing w:after="120" w:line="259" w:lineRule="auto"/>
              <w:rPr>
                <w:rFonts w:eastAsia="Arial" w:cs="Arial"/>
                <w:szCs w:val="24"/>
              </w:rPr>
            </w:pPr>
            <w:r w:rsidRPr="00790D5C">
              <w:rPr>
                <w:rFonts w:eastAsia="Arial" w:cs="Arial"/>
                <w:szCs w:val="24"/>
              </w:rPr>
              <w:t>Office of National Statistics</w:t>
            </w:r>
          </w:p>
        </w:tc>
      </w:tr>
      <w:tr w:rsidRPr="002A251C" w:rsidR="00015C69" w:rsidTr="000F7A4D" w14:paraId="68B3749E" w14:textId="0A3FC74B">
        <w:tc>
          <w:tcPr>
            <w:tcW w:w="955" w:type="pct"/>
          </w:tcPr>
          <w:p w:rsidRPr="00790D5C" w:rsidR="00015C69" w:rsidP="00EC0502" w:rsidRDefault="00015C69" w14:paraId="412C8F24" w14:textId="4F05D2E6">
            <w:pPr>
              <w:spacing w:after="120" w:line="259" w:lineRule="auto"/>
              <w:rPr>
                <w:rFonts w:eastAsia="Arial" w:cs="Arial"/>
                <w:b/>
                <w:bCs/>
                <w:szCs w:val="24"/>
              </w:rPr>
            </w:pPr>
            <w:r>
              <w:rPr>
                <w:rFonts w:eastAsia="Arial" w:cs="Arial"/>
                <w:b/>
                <w:bCs/>
                <w:szCs w:val="24"/>
              </w:rPr>
              <w:t>PA</w:t>
            </w:r>
          </w:p>
        </w:tc>
        <w:tc>
          <w:tcPr>
            <w:tcW w:w="4045" w:type="pct"/>
          </w:tcPr>
          <w:p w:rsidR="00015C69" w:rsidP="00EC0502" w:rsidRDefault="00015C69" w14:paraId="657C32BD" w14:textId="491AB370">
            <w:pPr>
              <w:spacing w:after="120" w:line="259" w:lineRule="auto"/>
              <w:rPr>
                <w:rFonts w:eastAsia="Arial" w:cs="Arial"/>
                <w:szCs w:val="24"/>
              </w:rPr>
            </w:pPr>
            <w:r>
              <w:rPr>
                <w:rFonts w:eastAsia="Arial" w:cs="Arial"/>
                <w:szCs w:val="24"/>
              </w:rPr>
              <w:t>Physical Activity</w:t>
            </w:r>
          </w:p>
        </w:tc>
      </w:tr>
      <w:tr w:rsidRPr="002A251C" w:rsidR="00015C69" w:rsidTr="000F7A4D" w14:paraId="3D1C2E3B" w14:textId="77777777">
        <w:tc>
          <w:tcPr>
            <w:tcW w:w="955" w:type="pct"/>
          </w:tcPr>
          <w:p w:rsidR="00015C69" w:rsidP="00EC0502" w:rsidRDefault="00015C69" w14:paraId="04BA5DD7" w14:textId="33C9F273">
            <w:pPr>
              <w:spacing w:after="120" w:line="259" w:lineRule="auto"/>
              <w:rPr>
                <w:rFonts w:eastAsia="Arial" w:cs="Arial"/>
                <w:b/>
                <w:bCs/>
                <w:szCs w:val="24"/>
              </w:rPr>
            </w:pPr>
            <w:r>
              <w:rPr>
                <w:rFonts w:eastAsia="Arial" w:cs="Arial"/>
                <w:b/>
                <w:bCs/>
                <w:szCs w:val="24"/>
              </w:rPr>
              <w:t>PCA</w:t>
            </w:r>
          </w:p>
        </w:tc>
        <w:tc>
          <w:tcPr>
            <w:tcW w:w="4045" w:type="pct"/>
          </w:tcPr>
          <w:p w:rsidR="00015C69" w:rsidP="00EC0502" w:rsidRDefault="00015C69" w14:paraId="19D71601" w14:textId="77777777">
            <w:pPr>
              <w:spacing w:after="120" w:line="259" w:lineRule="auto"/>
              <w:rPr>
                <w:color w:val="2C2822"/>
                <w:szCs w:val="20"/>
              </w:rPr>
            </w:pPr>
            <w:r w:rsidRPr="00E50B03">
              <w:rPr>
                <w:color w:val="2C2822"/>
                <w:szCs w:val="20"/>
              </w:rPr>
              <w:t>Personalised Care Adjustment</w:t>
            </w:r>
          </w:p>
          <w:p w:rsidR="00015C69" w:rsidP="00EC0502" w:rsidRDefault="00015C69" w14:paraId="7CAEAE35" w14:textId="19DED82B">
            <w:pPr>
              <w:spacing w:after="120" w:line="259" w:lineRule="auto"/>
              <w:rPr>
                <w:rFonts w:eastAsia="Arial" w:cs="Arial"/>
                <w:szCs w:val="24"/>
              </w:rPr>
            </w:pPr>
            <w:r w:rsidRPr="00E50B03">
              <w:rPr>
                <w:color w:val="2C2822"/>
                <w:szCs w:val="20"/>
              </w:rPr>
              <w:t>Personalised Care Adjustment</w:t>
            </w:r>
            <w:r>
              <w:rPr>
                <w:color w:val="2C2822"/>
                <w:szCs w:val="20"/>
              </w:rPr>
              <w:t xml:space="preserve"> </w:t>
            </w:r>
            <w:r w:rsidRPr="00E848EE">
              <w:rPr>
                <w:color w:val="2C2822"/>
                <w:szCs w:val="20"/>
              </w:rPr>
              <w:t xml:space="preserve">data presents information on numbers of patients with specific clinical conditions who are not included in </w:t>
            </w:r>
            <w:r>
              <w:rPr>
                <w:color w:val="2C2822"/>
                <w:szCs w:val="20"/>
              </w:rPr>
              <w:t xml:space="preserve">the Quality and Outcomes Framework (QOF – see the definition below) </w:t>
            </w:r>
            <w:r w:rsidRPr="00E848EE">
              <w:rPr>
                <w:color w:val="2C2822"/>
                <w:szCs w:val="20"/>
              </w:rPr>
              <w:t>indicator data</w:t>
            </w:r>
            <w:r>
              <w:rPr>
                <w:color w:val="2C2822"/>
                <w:szCs w:val="20"/>
              </w:rPr>
              <w:t xml:space="preserve"> (</w:t>
            </w:r>
            <w:hyperlink w:history="1" r:id="rId21">
              <w:r w:rsidRPr="00E848EE">
                <w:rPr>
                  <w:rStyle w:val="Hyperlink"/>
                  <w:szCs w:val="20"/>
                </w:rPr>
                <w:t>source</w:t>
              </w:r>
            </w:hyperlink>
            <w:r>
              <w:rPr>
                <w:color w:val="2C2822"/>
                <w:szCs w:val="20"/>
              </w:rPr>
              <w:t>).</w:t>
            </w:r>
          </w:p>
        </w:tc>
      </w:tr>
      <w:tr w:rsidRPr="002A251C" w:rsidR="00015C69" w:rsidTr="000F7A4D" w14:paraId="35DFBD87" w14:textId="1DFFBCC8">
        <w:tc>
          <w:tcPr>
            <w:tcW w:w="955" w:type="pct"/>
          </w:tcPr>
          <w:p w:rsidRPr="002A251C" w:rsidR="00015C69" w:rsidP="00EC0502" w:rsidRDefault="00015C69" w14:paraId="646FCC91" w14:textId="7FF83E1A">
            <w:pPr>
              <w:spacing w:after="120" w:line="259" w:lineRule="auto"/>
              <w:rPr>
                <w:rFonts w:eastAsia="Arial" w:cs="Arial"/>
                <w:b/>
                <w:bCs/>
                <w:szCs w:val="24"/>
              </w:rPr>
            </w:pPr>
            <w:r w:rsidRPr="00790D5C">
              <w:rPr>
                <w:rFonts w:eastAsia="Arial" w:cs="Arial"/>
                <w:b/>
                <w:bCs/>
                <w:szCs w:val="24"/>
              </w:rPr>
              <w:t>PF</w:t>
            </w:r>
          </w:p>
        </w:tc>
        <w:tc>
          <w:tcPr>
            <w:tcW w:w="4045" w:type="pct"/>
          </w:tcPr>
          <w:p w:rsidR="00015C69" w:rsidP="00EC0502" w:rsidRDefault="00015C69" w14:paraId="3BE579B9" w14:textId="77777777">
            <w:pPr>
              <w:spacing w:after="120" w:line="259" w:lineRule="auto"/>
              <w:rPr>
                <w:rFonts w:eastAsia="Arial" w:cs="Arial"/>
                <w:szCs w:val="24"/>
              </w:rPr>
            </w:pPr>
            <w:r>
              <w:rPr>
                <w:rFonts w:eastAsia="Arial" w:cs="Arial"/>
                <w:szCs w:val="24"/>
              </w:rPr>
              <w:t>Proportional Flow</w:t>
            </w:r>
          </w:p>
          <w:p w:rsidRPr="003315B3" w:rsidR="00015C69" w:rsidP="00EC0502" w:rsidRDefault="00015C69" w14:paraId="3007CA11" w14:textId="6E36335E">
            <w:pPr>
              <w:spacing w:after="120" w:line="259" w:lineRule="auto"/>
              <w:rPr>
                <w:rFonts w:eastAsia="Arial" w:cs="Arial"/>
                <w:szCs w:val="24"/>
              </w:rPr>
            </w:pPr>
            <w:r>
              <w:rPr>
                <w:rFonts w:eastAsia="Arial" w:cs="Arial"/>
                <w:szCs w:val="24"/>
              </w:rPr>
              <w:t>This is a</w:t>
            </w:r>
            <w:r w:rsidRPr="006D33CF">
              <w:rPr>
                <w:rFonts w:eastAsia="Arial" w:cs="Arial"/>
                <w:szCs w:val="24"/>
              </w:rPr>
              <w:t xml:space="preserve"> method where geographic units are assigned to a trust if the proportion of all patients resident within the geographic unit attending a trust exceeds a </w:t>
            </w:r>
            <w:r>
              <w:rPr>
                <w:rFonts w:eastAsia="Arial" w:cs="Arial"/>
                <w:szCs w:val="24"/>
              </w:rPr>
              <w:t>pre-</w:t>
            </w:r>
            <w:r w:rsidRPr="006D33CF">
              <w:rPr>
                <w:rFonts w:eastAsia="Arial" w:cs="Arial"/>
                <w:szCs w:val="24"/>
              </w:rPr>
              <w:t>defined threshold</w:t>
            </w:r>
            <w:r>
              <w:rPr>
                <w:rFonts w:eastAsia="Arial" w:cs="Arial"/>
                <w:szCs w:val="24"/>
              </w:rPr>
              <w:t xml:space="preserve"> (</w:t>
            </w:r>
            <w:hyperlink w:history="1" r:id="rId22">
              <w:r w:rsidRPr="006D33CF">
                <w:rPr>
                  <w:rStyle w:val="Hyperlink"/>
                  <w:rFonts w:eastAsia="Arial" w:cs="Arial"/>
                  <w:szCs w:val="24"/>
                </w:rPr>
                <w:t>source</w:t>
              </w:r>
            </w:hyperlink>
            <w:r>
              <w:rPr>
                <w:rFonts w:eastAsia="Arial" w:cs="Arial"/>
                <w:szCs w:val="24"/>
              </w:rPr>
              <w:t>).</w:t>
            </w:r>
          </w:p>
        </w:tc>
      </w:tr>
      <w:tr w:rsidRPr="002A251C" w:rsidR="00015C69" w:rsidTr="000F7A4D" w14:paraId="32D397E9" w14:textId="73656BD5">
        <w:tc>
          <w:tcPr>
            <w:tcW w:w="955" w:type="pct"/>
          </w:tcPr>
          <w:p w:rsidRPr="00790D5C" w:rsidR="00015C69" w:rsidP="00EC0502" w:rsidRDefault="00015C69" w14:paraId="56CC9516" w14:textId="767DB442">
            <w:pPr>
              <w:spacing w:after="120" w:line="259" w:lineRule="auto"/>
              <w:rPr>
                <w:rFonts w:eastAsia="Arial" w:cs="Arial"/>
                <w:b/>
                <w:bCs/>
                <w:szCs w:val="24"/>
              </w:rPr>
            </w:pPr>
            <w:r w:rsidRPr="00F10BCE">
              <w:rPr>
                <w:rFonts w:eastAsia="Arial" w:cs="Arial"/>
                <w:b/>
                <w:bCs/>
                <w:szCs w:val="24"/>
              </w:rPr>
              <w:t>PHE</w:t>
            </w:r>
          </w:p>
        </w:tc>
        <w:tc>
          <w:tcPr>
            <w:tcW w:w="4045" w:type="pct"/>
          </w:tcPr>
          <w:p w:rsidR="00015C69" w:rsidP="00EC0502" w:rsidRDefault="00015C69" w14:paraId="018051ED" w14:textId="1C427365">
            <w:pPr>
              <w:spacing w:after="120" w:line="259" w:lineRule="auto"/>
              <w:rPr>
                <w:rFonts w:eastAsia="Arial" w:cs="Arial"/>
                <w:szCs w:val="24"/>
              </w:rPr>
            </w:pPr>
            <w:r>
              <w:rPr>
                <w:rFonts w:eastAsia="Arial" w:cs="Arial"/>
                <w:szCs w:val="24"/>
              </w:rPr>
              <w:t>Public Health England</w:t>
            </w:r>
          </w:p>
        </w:tc>
      </w:tr>
      <w:tr w:rsidRPr="002A251C" w:rsidR="00015C69" w:rsidTr="000F7A4D" w14:paraId="3FD678B9" w14:textId="74D9C92B">
        <w:tc>
          <w:tcPr>
            <w:tcW w:w="955" w:type="pct"/>
          </w:tcPr>
          <w:p w:rsidRPr="002A251C" w:rsidR="00015C69" w:rsidP="00EC0502" w:rsidRDefault="00015C69" w14:paraId="40974F45" w14:textId="5A135D00">
            <w:pPr>
              <w:spacing w:after="120" w:line="259" w:lineRule="auto"/>
              <w:rPr>
                <w:rFonts w:eastAsia="Arial" w:cs="Arial"/>
                <w:b/>
                <w:bCs/>
                <w:szCs w:val="24"/>
              </w:rPr>
            </w:pPr>
            <w:r>
              <w:rPr>
                <w:rFonts w:eastAsia="Arial" w:cs="Arial"/>
                <w:b/>
                <w:bCs/>
                <w:szCs w:val="24"/>
              </w:rPr>
              <w:t>PRESS</w:t>
            </w:r>
          </w:p>
        </w:tc>
        <w:tc>
          <w:tcPr>
            <w:tcW w:w="4045" w:type="pct"/>
          </w:tcPr>
          <w:p w:rsidR="00015C69" w:rsidP="00EC0502" w:rsidRDefault="00015C69" w14:paraId="4CA1EFB6" w14:textId="77777777">
            <w:pPr>
              <w:spacing w:after="120" w:line="259" w:lineRule="auto"/>
            </w:pPr>
            <w:r>
              <w:t>Peer Review of Electronic Search Strategies</w:t>
            </w:r>
          </w:p>
          <w:p w:rsidRPr="00C6598C" w:rsidR="00015C69" w:rsidP="00EC0502" w:rsidRDefault="00015C69" w14:paraId="07C8DD17" w14:textId="33FE8DE5">
            <w:pPr>
              <w:spacing w:after="120" w:line="259" w:lineRule="auto"/>
              <w:rPr>
                <w:rFonts w:eastAsia="Arial" w:cs="Arial"/>
                <w:szCs w:val="24"/>
              </w:rPr>
            </w:pPr>
            <w:r>
              <w:t>A</w:t>
            </w:r>
            <w:r w:rsidRPr="00084939">
              <w:t xml:space="preserve"> structured checklist</w:t>
            </w:r>
            <w:r>
              <w:t xml:space="preserve"> </w:t>
            </w:r>
            <w:r w:rsidRPr="00084939">
              <w:t>tool for review</w:t>
            </w:r>
            <w:r>
              <w:t>ing</w:t>
            </w:r>
            <w:r w:rsidRPr="00084939">
              <w:t xml:space="preserve"> electronic literature search strategies</w:t>
            </w:r>
            <w:r>
              <w:t xml:space="preserve"> (</w:t>
            </w:r>
            <w:hyperlink w:history="1" r:id="rId23">
              <w:r w:rsidRPr="00084939">
                <w:rPr>
                  <w:rStyle w:val="Hyperlink"/>
                </w:rPr>
                <w:t>source</w:t>
              </w:r>
            </w:hyperlink>
            <w:r>
              <w:t>).</w:t>
            </w:r>
          </w:p>
        </w:tc>
      </w:tr>
      <w:tr w:rsidRPr="002A251C" w:rsidR="00015C69" w:rsidTr="000F7A4D" w14:paraId="19CED680" w14:textId="4F0DE05F">
        <w:tc>
          <w:tcPr>
            <w:tcW w:w="955" w:type="pct"/>
          </w:tcPr>
          <w:p w:rsidRPr="002A251C" w:rsidR="00015C69" w:rsidP="00EC0502" w:rsidRDefault="00015C69" w14:paraId="7A3382EB" w14:textId="3EA5E6E2">
            <w:pPr>
              <w:spacing w:after="120" w:line="259" w:lineRule="auto"/>
              <w:rPr>
                <w:rFonts w:eastAsia="Arial" w:cs="Arial"/>
                <w:b/>
                <w:bCs/>
                <w:szCs w:val="24"/>
              </w:rPr>
            </w:pPr>
            <w:r>
              <w:rPr>
                <w:rFonts w:eastAsia="Arial" w:cs="Arial"/>
                <w:b/>
                <w:bCs/>
                <w:szCs w:val="24"/>
              </w:rPr>
              <w:t>PRISMA</w:t>
            </w:r>
          </w:p>
        </w:tc>
        <w:tc>
          <w:tcPr>
            <w:tcW w:w="4045" w:type="pct"/>
          </w:tcPr>
          <w:p w:rsidR="00015C69" w:rsidP="00EC0502" w:rsidRDefault="00015C69" w14:paraId="40FC04AA" w14:textId="77777777">
            <w:pPr>
              <w:spacing w:after="120" w:line="259" w:lineRule="auto"/>
            </w:pPr>
            <w:r>
              <w:t>Preferred Reporting Items for Systematic Reviews and Meta-analyses</w:t>
            </w:r>
          </w:p>
          <w:p w:rsidRPr="00790D5C" w:rsidR="00015C69" w:rsidP="00EC0502" w:rsidRDefault="00015C69" w14:paraId="2532680F" w14:textId="3083223A">
            <w:pPr>
              <w:spacing w:after="120" w:line="259" w:lineRule="auto"/>
              <w:rPr>
                <w:rFonts w:eastAsia="Arial" w:cs="Arial"/>
                <w:szCs w:val="24"/>
              </w:rPr>
            </w:pPr>
            <w:r>
              <w:t xml:space="preserve">Guidance on producing literature reviews, which </w:t>
            </w:r>
            <w:r w:rsidRPr="00677C31">
              <w:t xml:space="preserve">was designed to help reviewers transparently report why the review was done, what the authors </w:t>
            </w:r>
            <w:r>
              <w:t xml:space="preserve">of the literature </w:t>
            </w:r>
            <w:r w:rsidRPr="00677C31">
              <w:t>did, and what they found.</w:t>
            </w:r>
          </w:p>
        </w:tc>
      </w:tr>
      <w:tr w:rsidRPr="002A251C" w:rsidR="00015C69" w:rsidTr="000F7A4D" w14:paraId="5501F7B0" w14:textId="77777777">
        <w:tc>
          <w:tcPr>
            <w:tcW w:w="955" w:type="pct"/>
          </w:tcPr>
          <w:p w:rsidR="00015C69" w:rsidP="00EC0502" w:rsidRDefault="00015C69" w14:paraId="2FB9F062" w14:textId="59E13829">
            <w:pPr>
              <w:spacing w:after="120" w:line="259" w:lineRule="auto"/>
              <w:rPr>
                <w:rFonts w:eastAsia="Arial" w:cs="Arial"/>
                <w:b/>
                <w:bCs/>
                <w:szCs w:val="24"/>
              </w:rPr>
            </w:pPr>
            <w:r>
              <w:rPr>
                <w:rFonts w:eastAsia="Arial" w:cs="Arial"/>
                <w:b/>
                <w:bCs/>
                <w:szCs w:val="24"/>
              </w:rPr>
              <w:t>Proportionate universalism approach</w:t>
            </w:r>
          </w:p>
        </w:tc>
        <w:tc>
          <w:tcPr>
            <w:tcW w:w="4045" w:type="pct"/>
          </w:tcPr>
          <w:p w:rsidR="00015C69" w:rsidP="00EC0502" w:rsidRDefault="00015C69" w14:paraId="0B47B3E6" w14:textId="29B99D57">
            <w:pPr>
              <w:spacing w:after="120" w:line="259" w:lineRule="auto"/>
            </w:pPr>
            <w:r>
              <w:t>A method of allocating resources to services aimed at reducing health inequalities, with low-level support provided universally and stepped intensity of support for individuals and / or communities based on level of need.</w:t>
            </w:r>
          </w:p>
        </w:tc>
      </w:tr>
      <w:tr w:rsidRPr="002A251C" w:rsidR="00015C69" w:rsidTr="000F7A4D" w14:paraId="0197560A" w14:textId="77777777">
        <w:tc>
          <w:tcPr>
            <w:tcW w:w="955" w:type="pct"/>
          </w:tcPr>
          <w:p w:rsidR="00015C69" w:rsidP="00EC0502" w:rsidRDefault="00015C69" w14:paraId="53076973" w14:textId="4E262DFE">
            <w:pPr>
              <w:spacing w:after="120" w:line="259" w:lineRule="auto"/>
              <w:rPr>
                <w:rFonts w:eastAsia="Arial" w:cs="Arial"/>
                <w:b/>
                <w:bCs/>
                <w:szCs w:val="24"/>
              </w:rPr>
            </w:pPr>
            <w:r>
              <w:rPr>
                <w:rFonts w:eastAsia="Arial" w:cs="Arial"/>
                <w:b/>
                <w:bCs/>
                <w:szCs w:val="24"/>
              </w:rPr>
              <w:t>Population segmentation approach</w:t>
            </w:r>
          </w:p>
        </w:tc>
        <w:tc>
          <w:tcPr>
            <w:tcW w:w="4045" w:type="pct"/>
          </w:tcPr>
          <w:p w:rsidR="00015C69" w:rsidP="00EC0502" w:rsidRDefault="00015C69" w14:paraId="5E6535BF" w14:textId="28C4E53B">
            <w:pPr>
              <w:spacing w:after="120" w:line="259" w:lineRule="auto"/>
            </w:pPr>
            <w:r>
              <w:rPr>
                <w:szCs w:val="20"/>
              </w:rPr>
              <w:t>Population segmentation approaches</w:t>
            </w:r>
            <w:r w:rsidRPr="00827E26">
              <w:t xml:space="preserve"> </w:t>
            </w:r>
            <w:r>
              <w:rPr>
                <w:szCs w:val="20"/>
              </w:rPr>
              <w:t>can provide</w:t>
            </w:r>
            <w:r w:rsidRPr="00827E26">
              <w:rPr>
                <w:szCs w:val="20"/>
              </w:rPr>
              <w:t xml:space="preserve"> detailed insight</w:t>
            </w:r>
            <w:r>
              <w:rPr>
                <w:szCs w:val="20"/>
              </w:rPr>
              <w:t>s</w:t>
            </w:r>
            <w:r w:rsidRPr="00827E26">
              <w:rPr>
                <w:szCs w:val="20"/>
              </w:rPr>
              <w:t xml:space="preserve"> into the needs of </w:t>
            </w:r>
            <w:r>
              <w:rPr>
                <w:szCs w:val="20"/>
              </w:rPr>
              <w:t xml:space="preserve">various </w:t>
            </w:r>
            <w:r w:rsidRPr="00827E26">
              <w:rPr>
                <w:szCs w:val="20"/>
              </w:rPr>
              <w:t xml:space="preserve">populations </w:t>
            </w:r>
            <w:r>
              <w:rPr>
                <w:szCs w:val="20"/>
              </w:rPr>
              <w:t>through applying</w:t>
            </w:r>
            <w:r w:rsidRPr="00827E26">
              <w:rPr>
                <w:szCs w:val="20"/>
              </w:rPr>
              <w:t xml:space="preserve"> analytical methods to large integrated data</w:t>
            </w:r>
            <w:r>
              <w:rPr>
                <w:szCs w:val="20"/>
              </w:rPr>
              <w:t xml:space="preserve"> </w:t>
            </w:r>
            <w:r w:rsidRPr="00827E26">
              <w:rPr>
                <w:szCs w:val="20"/>
              </w:rPr>
              <w:t>sets from various health and care settings</w:t>
            </w:r>
            <w:r>
              <w:rPr>
                <w:szCs w:val="20"/>
              </w:rPr>
              <w:t>.</w:t>
            </w:r>
          </w:p>
        </w:tc>
      </w:tr>
      <w:tr w:rsidRPr="002A251C" w:rsidR="00015C69" w:rsidTr="000F7A4D" w14:paraId="3E0C41E7" w14:textId="6CB32740">
        <w:tc>
          <w:tcPr>
            <w:tcW w:w="955" w:type="pct"/>
          </w:tcPr>
          <w:p w:rsidR="00015C69" w:rsidP="00EC0502" w:rsidRDefault="00015C69" w14:paraId="40FAEEE1" w14:textId="2CE4DCEF">
            <w:pPr>
              <w:spacing w:after="120" w:line="259" w:lineRule="auto"/>
              <w:rPr>
                <w:rFonts w:eastAsia="Arial" w:cs="Arial"/>
                <w:b/>
                <w:bCs/>
                <w:szCs w:val="24"/>
              </w:rPr>
            </w:pPr>
            <w:r w:rsidRPr="00790D5C">
              <w:rPr>
                <w:rFonts w:eastAsia="Arial" w:cs="Arial"/>
                <w:b/>
                <w:bCs/>
                <w:szCs w:val="24"/>
              </w:rPr>
              <w:t>QOF</w:t>
            </w:r>
          </w:p>
        </w:tc>
        <w:tc>
          <w:tcPr>
            <w:tcW w:w="4045" w:type="pct"/>
          </w:tcPr>
          <w:p w:rsidR="00015C69" w:rsidP="00EC0502" w:rsidRDefault="00015C69" w14:paraId="15692EDC" w14:textId="77777777">
            <w:pPr>
              <w:spacing w:after="120" w:line="259" w:lineRule="auto"/>
              <w:rPr>
                <w:rFonts w:eastAsia="Arial" w:cs="Arial"/>
                <w:szCs w:val="24"/>
              </w:rPr>
            </w:pPr>
            <w:r w:rsidRPr="003315B3">
              <w:rPr>
                <w:rFonts w:eastAsia="Arial" w:cs="Arial"/>
                <w:szCs w:val="24"/>
              </w:rPr>
              <w:t>Quality Outcomes Framework</w:t>
            </w:r>
          </w:p>
          <w:p w:rsidRPr="00790D5C" w:rsidR="00015C69" w:rsidP="00EC0502" w:rsidRDefault="00015C69" w14:paraId="75AB0C85" w14:textId="38344440">
            <w:pPr>
              <w:spacing w:after="120" w:line="259" w:lineRule="auto"/>
              <w:rPr>
                <w:rFonts w:eastAsia="Arial" w:cs="Arial"/>
                <w:szCs w:val="24"/>
              </w:rPr>
            </w:pPr>
            <w:r>
              <w:rPr>
                <w:rFonts w:eastAsia="Arial" w:cs="Arial"/>
                <w:szCs w:val="24"/>
              </w:rPr>
              <w:t>A</w:t>
            </w:r>
            <w:r w:rsidRPr="00A97C70">
              <w:rPr>
                <w:rFonts w:eastAsia="Arial" w:cs="Arial"/>
                <w:szCs w:val="24"/>
              </w:rPr>
              <w:t xml:space="preserve"> system for the performance management and payment of general practitioners (GPs) in England.</w:t>
            </w:r>
            <w:r>
              <w:rPr>
                <w:rFonts w:eastAsia="Arial" w:cs="Arial"/>
                <w:szCs w:val="24"/>
              </w:rPr>
              <w:t xml:space="preserve"> </w:t>
            </w:r>
            <w:r w:rsidRPr="0049176E">
              <w:rPr>
                <w:rFonts w:eastAsia="Arial" w:cs="Arial"/>
                <w:szCs w:val="24"/>
              </w:rPr>
              <w:t>The objective of is to improve the quality-of-care patients are given by rewarding practices for the quality of care they provide to their patients, based on several indicators across a range of key</w:t>
            </w:r>
            <w:r>
              <w:rPr>
                <w:rFonts w:eastAsia="Arial" w:cs="Arial"/>
                <w:szCs w:val="24"/>
              </w:rPr>
              <w:t xml:space="preserve"> </w:t>
            </w:r>
            <w:r w:rsidRPr="0049176E">
              <w:rPr>
                <w:rFonts w:eastAsia="Arial" w:cs="Arial"/>
                <w:szCs w:val="24"/>
              </w:rPr>
              <w:t>areas of clinical care and public health</w:t>
            </w:r>
            <w:r>
              <w:rPr>
                <w:rFonts w:eastAsia="Arial" w:cs="Arial"/>
                <w:szCs w:val="24"/>
              </w:rPr>
              <w:t xml:space="preserve"> (</w:t>
            </w:r>
            <w:hyperlink w:history="1" w:anchor="summary" r:id="rId24">
              <w:r w:rsidRPr="0049176E">
                <w:rPr>
                  <w:rStyle w:val="Hyperlink"/>
                  <w:rFonts w:eastAsia="Arial" w:cs="Arial"/>
                  <w:szCs w:val="24"/>
                </w:rPr>
                <w:t>source</w:t>
              </w:r>
            </w:hyperlink>
            <w:r>
              <w:rPr>
                <w:rFonts w:eastAsia="Arial" w:cs="Arial"/>
                <w:szCs w:val="24"/>
              </w:rPr>
              <w:t>).</w:t>
            </w:r>
          </w:p>
        </w:tc>
      </w:tr>
      <w:tr w:rsidRPr="002A251C" w:rsidR="00015C69" w:rsidTr="000F7A4D" w14:paraId="2BC122C5" w14:textId="7D5AC58C">
        <w:tc>
          <w:tcPr>
            <w:tcW w:w="955" w:type="pct"/>
          </w:tcPr>
          <w:p w:rsidR="00015C69" w:rsidP="00EC0502" w:rsidRDefault="00015C69" w14:paraId="28C47743" w14:textId="438A4DEB">
            <w:pPr>
              <w:spacing w:after="120" w:line="259" w:lineRule="auto"/>
              <w:rPr>
                <w:rFonts w:eastAsia="Arial" w:cs="Arial"/>
                <w:b/>
                <w:bCs/>
                <w:szCs w:val="24"/>
              </w:rPr>
            </w:pPr>
            <w:r w:rsidRPr="00790D5C">
              <w:rPr>
                <w:rFonts w:eastAsia="Arial" w:cs="Arial"/>
                <w:b/>
                <w:bCs/>
                <w:szCs w:val="24"/>
              </w:rPr>
              <w:t>RII</w:t>
            </w:r>
          </w:p>
        </w:tc>
        <w:tc>
          <w:tcPr>
            <w:tcW w:w="4045" w:type="pct"/>
          </w:tcPr>
          <w:p w:rsidR="00015C69" w:rsidP="00EC0502" w:rsidRDefault="00015C69" w14:paraId="6EE29954" w14:textId="77777777">
            <w:pPr>
              <w:spacing w:after="120" w:line="259" w:lineRule="auto"/>
              <w:rPr>
                <w:rFonts w:eastAsia="Arial" w:cs="Arial"/>
                <w:szCs w:val="24"/>
              </w:rPr>
            </w:pPr>
            <w:r w:rsidRPr="00C6598C">
              <w:rPr>
                <w:rFonts w:eastAsia="Arial" w:cs="Arial"/>
                <w:szCs w:val="24"/>
              </w:rPr>
              <w:t>Relative Index of Inequalities</w:t>
            </w:r>
          </w:p>
          <w:p w:rsidRPr="00790D5C" w:rsidR="00015C69" w:rsidP="00EC0502" w:rsidRDefault="00015C69" w14:paraId="14200734" w14:textId="0B4D32CC">
            <w:pPr>
              <w:spacing w:after="120" w:line="259" w:lineRule="auto"/>
              <w:rPr>
                <w:rFonts w:eastAsia="Arial" w:cs="Arial"/>
                <w:szCs w:val="24"/>
              </w:rPr>
            </w:pPr>
            <w:r>
              <w:rPr>
                <w:rFonts w:eastAsia="Arial" w:cs="Arial"/>
                <w:szCs w:val="24"/>
              </w:rPr>
              <w:t>A</w:t>
            </w:r>
            <w:r w:rsidRPr="009E462F">
              <w:rPr>
                <w:rFonts w:eastAsia="Arial" w:cs="Arial"/>
                <w:szCs w:val="24"/>
              </w:rPr>
              <w:t xml:space="preserve"> measure of inequality. </w:t>
            </w:r>
            <w:r>
              <w:rPr>
                <w:rFonts w:eastAsia="Arial" w:cs="Arial"/>
                <w:szCs w:val="24"/>
              </w:rPr>
              <w:t xml:space="preserve">It is </w:t>
            </w:r>
            <w:r w:rsidRPr="009E462F">
              <w:rPr>
                <w:rFonts w:eastAsia="Arial" w:cs="Arial"/>
                <w:szCs w:val="24"/>
              </w:rPr>
              <w:t>a measure of the social gradient in an indicator and shows how much the indicator varies with deprivation</w:t>
            </w:r>
            <w:r>
              <w:rPr>
                <w:rFonts w:eastAsia="Arial" w:cs="Arial"/>
                <w:szCs w:val="24"/>
              </w:rPr>
              <w:t xml:space="preserve">. </w:t>
            </w:r>
            <w:r w:rsidRPr="009E462F">
              <w:rPr>
                <w:rFonts w:eastAsia="Arial" w:cs="Arial"/>
                <w:szCs w:val="24"/>
              </w:rPr>
              <w:t>It takes account of inequalities across the whole range of deprivation within England and summarises this into a single number</w:t>
            </w:r>
            <w:r>
              <w:rPr>
                <w:rFonts w:eastAsia="Arial" w:cs="Arial"/>
                <w:szCs w:val="24"/>
              </w:rPr>
              <w:t xml:space="preserve"> (</w:t>
            </w:r>
            <w:hyperlink w:history="1" w:anchor="relative-index-of-inequality-rii" r:id="rId25">
              <w:r w:rsidRPr="009E462F">
                <w:rPr>
                  <w:rStyle w:val="Hyperlink"/>
                  <w:rFonts w:eastAsia="Arial" w:cs="Arial"/>
                  <w:szCs w:val="24"/>
                </w:rPr>
                <w:t>source</w:t>
              </w:r>
            </w:hyperlink>
            <w:r>
              <w:rPr>
                <w:rFonts w:eastAsia="Arial" w:cs="Arial"/>
                <w:szCs w:val="24"/>
              </w:rPr>
              <w:t>).</w:t>
            </w:r>
          </w:p>
        </w:tc>
      </w:tr>
      <w:tr w:rsidRPr="002A251C" w:rsidR="00015C69" w:rsidTr="000F7A4D" w14:paraId="4C602E00" w14:textId="6E05A09F">
        <w:tc>
          <w:tcPr>
            <w:tcW w:w="955" w:type="pct"/>
          </w:tcPr>
          <w:p w:rsidR="00015C69" w:rsidP="00EC0502" w:rsidRDefault="00015C69" w14:paraId="306468BD" w14:textId="339A6A20">
            <w:pPr>
              <w:spacing w:after="120" w:line="259" w:lineRule="auto"/>
              <w:rPr>
                <w:rFonts w:eastAsia="Arial" w:cs="Arial"/>
                <w:b/>
                <w:bCs/>
                <w:szCs w:val="24"/>
              </w:rPr>
            </w:pPr>
            <w:r w:rsidRPr="00790D5C">
              <w:rPr>
                <w:rFonts w:eastAsia="Arial" w:cs="Arial"/>
                <w:b/>
                <w:bCs/>
                <w:szCs w:val="24"/>
              </w:rPr>
              <w:t>RSM</w:t>
            </w:r>
          </w:p>
        </w:tc>
        <w:tc>
          <w:tcPr>
            <w:tcW w:w="4045" w:type="pct"/>
          </w:tcPr>
          <w:p w:rsidRPr="00790D5C" w:rsidR="00015C69" w:rsidP="00EC0502" w:rsidRDefault="00015C69" w14:paraId="1712EECF" w14:textId="45E6284A">
            <w:pPr>
              <w:spacing w:after="120" w:line="259" w:lineRule="auto"/>
              <w:rPr>
                <w:rFonts w:eastAsia="Arial" w:cs="Arial"/>
                <w:szCs w:val="24"/>
              </w:rPr>
            </w:pPr>
            <w:r>
              <w:rPr>
                <w:rFonts w:eastAsia="Arial" w:cs="Arial"/>
                <w:szCs w:val="24"/>
              </w:rPr>
              <w:t>RSM UK Consulting LLP</w:t>
            </w:r>
          </w:p>
        </w:tc>
      </w:tr>
      <w:tr w:rsidRPr="002A251C" w:rsidR="00015C69" w:rsidTr="000F7A4D" w14:paraId="05E622C5" w14:textId="55E859A6">
        <w:tc>
          <w:tcPr>
            <w:tcW w:w="955" w:type="pct"/>
          </w:tcPr>
          <w:p w:rsidR="00015C69" w:rsidP="00EC0502" w:rsidRDefault="00015C69" w14:paraId="264E5196" w14:textId="68138E37">
            <w:pPr>
              <w:spacing w:after="120" w:line="259" w:lineRule="auto"/>
              <w:rPr>
                <w:rFonts w:eastAsia="Arial" w:cs="Arial"/>
                <w:b/>
                <w:bCs/>
                <w:szCs w:val="24"/>
              </w:rPr>
            </w:pPr>
            <w:r>
              <w:rPr>
                <w:rFonts w:eastAsia="Arial" w:cs="Arial"/>
                <w:b/>
                <w:bCs/>
                <w:szCs w:val="24"/>
              </w:rPr>
              <w:t>SPT</w:t>
            </w:r>
          </w:p>
        </w:tc>
        <w:tc>
          <w:tcPr>
            <w:tcW w:w="4045" w:type="pct"/>
          </w:tcPr>
          <w:p w:rsidR="00015C69" w:rsidP="00EC0502" w:rsidRDefault="00015C69" w14:paraId="65543718" w14:textId="77777777">
            <w:pPr>
              <w:spacing w:after="120" w:line="259" w:lineRule="auto"/>
              <w:rPr>
                <w:rFonts w:eastAsia="Arial" w:cs="Arial"/>
                <w:szCs w:val="24"/>
              </w:rPr>
            </w:pPr>
            <w:r w:rsidRPr="00A12BC9">
              <w:rPr>
                <w:rFonts w:eastAsia="Arial" w:cs="Arial"/>
                <w:szCs w:val="24"/>
              </w:rPr>
              <w:t>Social Practice Theory</w:t>
            </w:r>
          </w:p>
          <w:p w:rsidRPr="00790D5C" w:rsidR="00015C69" w:rsidP="00EC0502" w:rsidRDefault="00015C69" w14:paraId="259CA802" w14:textId="00821318">
            <w:pPr>
              <w:spacing w:after="120" w:line="259" w:lineRule="auto"/>
              <w:rPr>
                <w:rFonts w:eastAsia="Arial" w:cs="Arial"/>
                <w:szCs w:val="24"/>
              </w:rPr>
            </w:pPr>
            <w:r>
              <w:rPr>
                <w:rFonts w:eastAsia="Arial" w:cs="Arial"/>
                <w:szCs w:val="24"/>
              </w:rPr>
              <w:t>A</w:t>
            </w:r>
            <w:r w:rsidRPr="00474E7D">
              <w:rPr>
                <w:rFonts w:eastAsia="Arial" w:cs="Arial"/>
                <w:szCs w:val="24"/>
              </w:rPr>
              <w:t xml:space="preserve"> theory within </w:t>
            </w:r>
            <w:r>
              <w:rPr>
                <w:rFonts w:eastAsia="Arial" w:cs="Arial"/>
                <w:szCs w:val="24"/>
              </w:rPr>
              <w:t xml:space="preserve">the field of </w:t>
            </w:r>
            <w:r w:rsidRPr="00474E7D">
              <w:rPr>
                <w:rFonts w:eastAsia="Arial" w:cs="Arial"/>
                <w:szCs w:val="24"/>
              </w:rPr>
              <w:t>psychology that seeks to determine the link between practice and context within social situations.</w:t>
            </w:r>
          </w:p>
        </w:tc>
      </w:tr>
      <w:tr w:rsidRPr="002A251C" w:rsidR="00015C69" w:rsidTr="000F7A4D" w14:paraId="0A3C2187" w14:textId="78854D95">
        <w:tc>
          <w:tcPr>
            <w:tcW w:w="955" w:type="pct"/>
          </w:tcPr>
          <w:p w:rsidR="00015C69" w:rsidP="00EC0502" w:rsidRDefault="00015C69" w14:paraId="154C2FFD" w14:textId="678B638C">
            <w:pPr>
              <w:spacing w:after="120" w:line="259" w:lineRule="auto"/>
              <w:rPr>
                <w:rFonts w:eastAsia="Arial" w:cs="Arial"/>
                <w:b/>
                <w:bCs/>
                <w:szCs w:val="24"/>
              </w:rPr>
            </w:pPr>
            <w:r>
              <w:rPr>
                <w:rFonts w:eastAsia="Arial" w:cs="Arial"/>
                <w:b/>
                <w:bCs/>
                <w:szCs w:val="24"/>
              </w:rPr>
              <w:t>UCL</w:t>
            </w:r>
          </w:p>
        </w:tc>
        <w:tc>
          <w:tcPr>
            <w:tcW w:w="4045" w:type="pct"/>
          </w:tcPr>
          <w:p w:rsidRPr="00A12BC9" w:rsidR="00015C69" w:rsidP="00EC0502" w:rsidRDefault="00015C69" w14:paraId="26D9BD33" w14:textId="0DB7D3CC">
            <w:pPr>
              <w:spacing w:after="120" w:line="259" w:lineRule="auto"/>
              <w:rPr>
                <w:rFonts w:eastAsia="Arial" w:cs="Arial"/>
                <w:szCs w:val="24"/>
              </w:rPr>
            </w:pPr>
            <w:r>
              <w:rPr>
                <w:rFonts w:eastAsia="Arial" w:cs="Arial"/>
                <w:szCs w:val="24"/>
              </w:rPr>
              <w:t>University College London</w:t>
            </w:r>
          </w:p>
        </w:tc>
      </w:tr>
      <w:tr w:rsidRPr="002A251C" w:rsidR="00015C69" w:rsidTr="000F7A4D" w14:paraId="12FE2F07" w14:textId="2EED1576">
        <w:tc>
          <w:tcPr>
            <w:tcW w:w="955" w:type="pct"/>
          </w:tcPr>
          <w:p w:rsidR="00015C69" w:rsidP="00EC0502" w:rsidRDefault="00015C69" w14:paraId="0FF61D27" w14:textId="0104467A">
            <w:pPr>
              <w:spacing w:after="120" w:line="259" w:lineRule="auto"/>
              <w:rPr>
                <w:rFonts w:eastAsia="Arial" w:cs="Arial"/>
                <w:b/>
                <w:bCs/>
                <w:szCs w:val="24"/>
              </w:rPr>
            </w:pPr>
            <w:r w:rsidRPr="0054518F">
              <w:rPr>
                <w:rFonts w:eastAsia="Arial" w:cs="Arial"/>
                <w:b/>
                <w:bCs/>
                <w:szCs w:val="24"/>
              </w:rPr>
              <w:t>VCSE</w:t>
            </w:r>
          </w:p>
        </w:tc>
        <w:tc>
          <w:tcPr>
            <w:tcW w:w="4045" w:type="pct"/>
          </w:tcPr>
          <w:p w:rsidR="00015C69" w:rsidP="00EC0502" w:rsidRDefault="00015C69" w14:paraId="1D22B43F" w14:textId="77777777">
            <w:pPr>
              <w:spacing w:after="120" w:line="259" w:lineRule="auto"/>
              <w:rPr>
                <w:rFonts w:eastAsia="Arial" w:cs="Arial"/>
                <w:szCs w:val="24"/>
              </w:rPr>
            </w:pPr>
            <w:r w:rsidRPr="0054518F">
              <w:rPr>
                <w:rFonts w:eastAsia="Arial" w:cs="Arial"/>
                <w:szCs w:val="24"/>
              </w:rPr>
              <w:t>Voluntary Community and Social Enterprise</w:t>
            </w:r>
          </w:p>
          <w:p w:rsidRPr="00A12BC9" w:rsidR="00015C69" w:rsidP="00EC0502" w:rsidRDefault="00015C69" w14:paraId="6FC92786" w14:textId="60939A72">
            <w:pPr>
              <w:spacing w:after="120" w:line="259" w:lineRule="auto"/>
              <w:rPr>
                <w:rFonts w:eastAsia="Arial" w:cs="Arial"/>
                <w:szCs w:val="24"/>
              </w:rPr>
            </w:pPr>
            <w:r>
              <w:rPr>
                <w:rFonts w:eastAsia="Arial" w:cs="Arial"/>
                <w:szCs w:val="24"/>
              </w:rPr>
              <w:t>An organisation which serves communities within England (</w:t>
            </w:r>
            <w:hyperlink w:history="1" w:anchor=":~:text=VCSE%20means%20an%20incorporated%20voluntary,the%20relevant%20registry%20body%3B%20or" r:id="rId26">
              <w:r w:rsidRPr="00634765">
                <w:rPr>
                  <w:rStyle w:val="Hyperlink"/>
                  <w:rFonts w:eastAsia="Arial" w:cs="Arial"/>
                  <w:szCs w:val="24"/>
                </w:rPr>
                <w:t>source</w:t>
              </w:r>
            </w:hyperlink>
            <w:r>
              <w:rPr>
                <w:rFonts w:eastAsia="Arial" w:cs="Arial"/>
                <w:szCs w:val="24"/>
              </w:rPr>
              <w:t>). These can be either charities or unregulated organisations.</w:t>
            </w:r>
          </w:p>
        </w:tc>
      </w:tr>
    </w:tbl>
    <w:p w:rsidRPr="00512459" w:rsidR="00512459" w:rsidP="00AE2428" w:rsidRDefault="00512459" w14:paraId="4BD48EDB" w14:textId="77777777"/>
    <w:p w:rsidR="00A12BC9" w:rsidRDefault="00A12BC9" w14:paraId="2591192B" w14:textId="77777777">
      <w:pPr>
        <w:spacing w:after="160" w:line="259" w:lineRule="auto"/>
      </w:pPr>
      <w:r>
        <w:br w:type="page"/>
      </w:r>
    </w:p>
    <w:p w:rsidRPr="002A251C" w:rsidR="000E28B9" w:rsidP="0076419C" w:rsidRDefault="00EB4041" w14:paraId="796BC37C" w14:textId="2ACECD6A">
      <w:pPr>
        <w:pStyle w:val="Heading1Num"/>
      </w:pPr>
      <w:bookmarkStart w:name="_Toc129861342" w:id="9"/>
      <w:bookmarkStart w:name="_Toc129865411" w:id="10"/>
      <w:bookmarkStart w:name="_Toc129865459" w:id="11"/>
      <w:bookmarkStart w:name="_Toc129953090" w:id="12"/>
      <w:bookmarkStart w:name="_Toc129953121" w:id="13"/>
      <w:bookmarkStart w:name="_Toc129953165" w:id="14"/>
      <w:bookmarkStart w:name="_Toc129953537" w:id="15"/>
      <w:bookmarkStart w:name="_Toc146539767" w:id="16"/>
      <w:r w:rsidRPr="002A251C">
        <w:t>Introduction and background</w:t>
      </w:r>
      <w:bookmarkEnd w:id="9"/>
      <w:bookmarkEnd w:id="10"/>
      <w:bookmarkEnd w:id="11"/>
      <w:bookmarkEnd w:id="12"/>
      <w:bookmarkEnd w:id="13"/>
      <w:bookmarkEnd w:id="14"/>
      <w:bookmarkEnd w:id="15"/>
      <w:bookmarkEnd w:id="16"/>
      <w:r w:rsidRPr="002A251C">
        <w:t xml:space="preserve"> </w:t>
      </w:r>
    </w:p>
    <w:p w:rsidR="003D1C0C" w:rsidP="00CC4DB8" w:rsidRDefault="003D1C0C" w14:paraId="47150F9C" w14:textId="0EB936FE">
      <w:r w:rsidRPr="00EA17CF">
        <w:t xml:space="preserve">RSM UK Consulting LLP (RSM) along with Professor </w:t>
      </w:r>
      <w:r>
        <w:t xml:space="preserve">Rosalind Raine </w:t>
      </w:r>
      <w:r w:rsidRPr="00EA17CF">
        <w:t xml:space="preserve">at </w:t>
      </w:r>
      <w:r w:rsidR="00982DF9">
        <w:t>University College London (</w:t>
      </w:r>
      <w:r>
        <w:t>UCL</w:t>
      </w:r>
      <w:r w:rsidR="00982DF9">
        <w:t>)</w:t>
      </w:r>
      <w:r>
        <w:t xml:space="preserve"> and the </w:t>
      </w:r>
      <w:r w:rsidRPr="00211F88">
        <w:t xml:space="preserve">University of Birmingham Library Services </w:t>
      </w:r>
      <w:r>
        <w:t xml:space="preserve">were </w:t>
      </w:r>
      <w:r w:rsidRPr="00EA17CF">
        <w:t xml:space="preserve">commissioned by Care Quality Commission (CQC) </w:t>
      </w:r>
      <w:r>
        <w:t xml:space="preserve">in March 2023 </w:t>
      </w:r>
      <w:r w:rsidRPr="00EA17CF">
        <w:t xml:space="preserve">to conduct a rapid literature review into </w:t>
      </w:r>
      <w:r w:rsidR="00C927E8">
        <w:t xml:space="preserve">what works in </w:t>
      </w:r>
      <w:r>
        <w:t>addressing health inequalities within a local area.</w:t>
      </w:r>
    </w:p>
    <w:p w:rsidR="003D1C0C" w:rsidP="00CC4DB8" w:rsidRDefault="003D1C0C" w14:paraId="71307B76" w14:textId="4683313E">
      <w:pPr>
        <w:pStyle w:val="Heading2Num"/>
        <w:spacing w:before="0" w:after="200"/>
        <w:ind w:left="680"/>
      </w:pPr>
      <w:bookmarkStart w:name="_Toc139558222" w:id="17"/>
      <w:bookmarkStart w:name="_Toc139619028" w:id="18"/>
      <w:bookmarkStart w:name="_Toc139619146" w:id="19"/>
      <w:r>
        <w:t>Evolution of local systems addressing health inequalities</w:t>
      </w:r>
      <w:bookmarkEnd w:id="17"/>
      <w:bookmarkEnd w:id="18"/>
      <w:bookmarkEnd w:id="19"/>
    </w:p>
    <w:p w:rsidR="007E5C46" w:rsidP="007E5C46" w:rsidRDefault="007E5C46" w14:paraId="2A50D2BC" w14:textId="77777777">
      <w:r>
        <w:t>Health inequalities have been defined by the King’s Fund</w:t>
      </w:r>
      <w:r w:rsidRPr="00EE0E4C">
        <w:rPr>
          <w:rFonts w:cs="Arial"/>
          <w:szCs w:val="24"/>
        </w:rPr>
        <w:t xml:space="preserve"> </w:t>
      </w:r>
      <w:r>
        <w:t xml:space="preserve">as: </w:t>
      </w:r>
    </w:p>
    <w:p w:rsidRPr="00CF77EC" w:rsidR="007E5C46" w:rsidP="00EC0502" w:rsidRDefault="007E5C46" w14:paraId="79B13E99" w14:textId="77777777">
      <w:pPr>
        <w:pStyle w:val="CommentText"/>
        <w:spacing w:after="120"/>
        <w:rPr>
          <w:i/>
          <w:iCs/>
          <w:color w:val="141414"/>
        </w:rPr>
      </w:pPr>
      <w:r>
        <w:rPr>
          <w:i/>
          <w:iCs/>
        </w:rPr>
        <w:t>“</w:t>
      </w:r>
      <w:r w:rsidRPr="00AD1457">
        <w:rPr>
          <w:i/>
          <w:iCs/>
        </w:rPr>
        <w:t>Health inequalities are avoidable, unfair and systematic differences in health between different groups of people</w:t>
      </w:r>
      <w:r>
        <w:rPr>
          <w:i/>
          <w:iCs/>
          <w:color w:val="141414"/>
        </w:rPr>
        <w:t>. […] the term is also used to refer to differences in the care that people receive and the opportunities that they have to lead healthy lives – both of which can contribute to their health status. Health inequalities can therefore involve differences in:</w:t>
      </w:r>
    </w:p>
    <w:p w:rsidR="007E5C46" w:rsidP="00AF10D4" w:rsidRDefault="007E5C46" w14:paraId="1FBB7EA7" w14:textId="77777777">
      <w:pPr>
        <w:pStyle w:val="CommentText"/>
        <w:numPr>
          <w:ilvl w:val="0"/>
          <w:numId w:val="26"/>
        </w:numPr>
        <w:spacing w:after="120"/>
      </w:pPr>
      <w:r>
        <w:rPr>
          <w:i/>
          <w:iCs/>
          <w:color w:val="141414"/>
        </w:rPr>
        <w:t>health status, for example, life expectancy;</w:t>
      </w:r>
    </w:p>
    <w:p w:rsidR="007E5C46" w:rsidP="00AF10D4" w:rsidRDefault="007E5C46" w14:paraId="76F684F0" w14:textId="77777777">
      <w:pPr>
        <w:pStyle w:val="CommentText"/>
        <w:numPr>
          <w:ilvl w:val="0"/>
          <w:numId w:val="26"/>
        </w:numPr>
        <w:spacing w:after="120"/>
      </w:pPr>
      <w:r>
        <w:rPr>
          <w:i/>
          <w:iCs/>
          <w:color w:val="141414"/>
        </w:rPr>
        <w:t>access to care, for example, availability of given services;</w:t>
      </w:r>
    </w:p>
    <w:p w:rsidR="007E5C46" w:rsidP="00AF10D4" w:rsidRDefault="007E5C46" w14:paraId="6A56D4D6" w14:textId="77777777">
      <w:pPr>
        <w:pStyle w:val="CommentText"/>
        <w:numPr>
          <w:ilvl w:val="0"/>
          <w:numId w:val="26"/>
        </w:numPr>
        <w:spacing w:after="120"/>
      </w:pPr>
      <w:r>
        <w:rPr>
          <w:i/>
          <w:iCs/>
          <w:color w:val="141414"/>
        </w:rPr>
        <w:t>quality and experience of care, for example, levels of patient satisfaction;</w:t>
      </w:r>
    </w:p>
    <w:p w:rsidR="007E5C46" w:rsidP="00AF10D4" w:rsidRDefault="007E5C46" w14:paraId="202FF414" w14:textId="77777777">
      <w:pPr>
        <w:pStyle w:val="CommentText"/>
        <w:numPr>
          <w:ilvl w:val="0"/>
          <w:numId w:val="26"/>
        </w:numPr>
        <w:spacing w:after="120"/>
      </w:pPr>
      <w:r>
        <w:rPr>
          <w:i/>
          <w:iCs/>
          <w:color w:val="141414"/>
        </w:rPr>
        <w:t xml:space="preserve">behavioural risks to health, for example, smoking rates; and </w:t>
      </w:r>
    </w:p>
    <w:p w:rsidRPr="00AD1457" w:rsidR="007E5C46" w:rsidP="00AF10D4" w:rsidRDefault="007E5C46" w14:paraId="6AB3710A" w14:textId="77777777">
      <w:pPr>
        <w:pStyle w:val="CommentText"/>
        <w:numPr>
          <w:ilvl w:val="0"/>
          <w:numId w:val="26"/>
        </w:numPr>
      </w:pPr>
      <w:r>
        <w:rPr>
          <w:i/>
          <w:iCs/>
          <w:color w:val="141414"/>
        </w:rPr>
        <w:t>wider determinants of health, for example, quality o</w:t>
      </w:r>
      <w:r w:rsidRPr="007E5C46">
        <w:rPr>
          <w:i/>
          <w:iCs/>
          <w:color w:val="141414"/>
        </w:rPr>
        <w:t>f housing</w:t>
      </w:r>
      <w:r w:rsidRPr="007E5C46">
        <w:rPr>
          <w:rFonts w:cs="Arial"/>
          <w:i/>
          <w:iCs/>
          <w:color w:val="0B0C0C"/>
        </w:rPr>
        <w:t>”</w:t>
      </w:r>
      <w:r w:rsidRPr="000F7A4D">
        <w:rPr>
          <w:rFonts w:cs="Arial"/>
          <w:i/>
          <w:iCs/>
          <w:color w:val="0B0C0C"/>
        </w:rPr>
        <w:t>.</w:t>
      </w:r>
      <w:r w:rsidRPr="000F7A4D">
        <w:rPr>
          <w:rFonts w:cs="Arial"/>
          <w:color w:val="0B0C0C"/>
          <w:vertAlign w:val="superscript"/>
        </w:rPr>
        <w:t>1</w:t>
      </w:r>
    </w:p>
    <w:p w:rsidR="009479FA" w:rsidP="00CC4DB8" w:rsidRDefault="009479FA" w14:paraId="0D869620" w14:textId="3793AE47">
      <w:pPr>
        <w:pStyle w:val="NormalWeb"/>
        <w:shd w:val="clear" w:color="auto" w:fill="FFFFFF"/>
        <w:spacing w:before="0" w:beforeAutospacing="0" w:after="200" w:afterAutospacing="0"/>
        <w:rPr>
          <w:rFonts w:ascii="Arial" w:hAnsi="Arial" w:eastAsiaTheme="minorHAnsi" w:cstheme="minorBidi"/>
          <w:szCs w:val="22"/>
          <w:lang w:eastAsia="en-US"/>
        </w:rPr>
      </w:pPr>
      <w:r>
        <w:rPr>
          <w:rFonts w:ascii="Arial" w:hAnsi="Arial" w:eastAsiaTheme="minorHAnsi" w:cstheme="minorBidi"/>
          <w:szCs w:val="22"/>
          <w:lang w:eastAsia="en-US"/>
        </w:rPr>
        <w:t xml:space="preserve">They </w:t>
      </w:r>
      <w:r w:rsidR="00700F5D">
        <w:rPr>
          <w:rFonts w:ascii="Arial" w:hAnsi="Arial" w:eastAsiaTheme="minorHAnsi" w:cstheme="minorBidi"/>
          <w:szCs w:val="22"/>
          <w:lang w:eastAsia="en-US"/>
        </w:rPr>
        <w:t xml:space="preserve">are driven by </w:t>
      </w:r>
      <w:r w:rsidRPr="0076106B" w:rsidR="0076106B">
        <w:rPr>
          <w:rFonts w:ascii="Arial" w:hAnsi="Arial" w:eastAsiaTheme="minorHAnsi" w:cstheme="minorBidi"/>
          <w:szCs w:val="22"/>
          <w:lang w:eastAsia="en-US"/>
        </w:rPr>
        <w:t>the social, economic</w:t>
      </w:r>
      <w:r w:rsidR="007D20AF">
        <w:rPr>
          <w:rFonts w:ascii="Arial" w:hAnsi="Arial" w:eastAsiaTheme="minorHAnsi" w:cstheme="minorBidi"/>
          <w:szCs w:val="22"/>
          <w:lang w:eastAsia="en-US"/>
        </w:rPr>
        <w:t>, structural</w:t>
      </w:r>
      <w:r w:rsidRPr="0076106B" w:rsidR="0076106B">
        <w:rPr>
          <w:rFonts w:ascii="Arial" w:hAnsi="Arial" w:eastAsiaTheme="minorHAnsi" w:cstheme="minorBidi"/>
          <w:szCs w:val="22"/>
          <w:lang w:eastAsia="en-US"/>
        </w:rPr>
        <w:t xml:space="preserve"> and environmental conditions in which </w:t>
      </w:r>
      <w:r>
        <w:rPr>
          <w:rFonts w:ascii="Arial" w:hAnsi="Arial" w:eastAsiaTheme="minorHAnsi" w:cstheme="minorBidi"/>
          <w:szCs w:val="22"/>
          <w:lang w:eastAsia="en-US"/>
        </w:rPr>
        <w:t xml:space="preserve">a </w:t>
      </w:r>
      <w:r w:rsidR="00592442">
        <w:rPr>
          <w:rFonts w:ascii="Arial" w:hAnsi="Arial" w:eastAsiaTheme="minorHAnsi" w:cstheme="minorBidi"/>
          <w:szCs w:val="22"/>
          <w:lang w:eastAsia="en-US"/>
        </w:rPr>
        <w:t>p</w:t>
      </w:r>
      <w:r>
        <w:rPr>
          <w:rFonts w:ascii="Arial" w:hAnsi="Arial" w:eastAsiaTheme="minorHAnsi" w:cstheme="minorBidi"/>
          <w:szCs w:val="22"/>
          <w:lang w:eastAsia="en-US"/>
        </w:rPr>
        <w:t xml:space="preserve">erson </w:t>
      </w:r>
      <w:r w:rsidRPr="0076106B" w:rsidR="0076106B">
        <w:rPr>
          <w:rFonts w:ascii="Arial" w:hAnsi="Arial" w:eastAsiaTheme="minorHAnsi" w:cstheme="minorBidi"/>
          <w:szCs w:val="22"/>
          <w:lang w:eastAsia="en-US"/>
        </w:rPr>
        <w:t>live</w:t>
      </w:r>
      <w:r>
        <w:rPr>
          <w:rFonts w:ascii="Arial" w:hAnsi="Arial" w:eastAsiaTheme="minorHAnsi" w:cstheme="minorBidi"/>
          <w:szCs w:val="22"/>
          <w:lang w:eastAsia="en-US"/>
        </w:rPr>
        <w:t xml:space="preserve">s, which can </w:t>
      </w:r>
      <w:r w:rsidRPr="0076106B">
        <w:rPr>
          <w:rFonts w:ascii="Arial" w:hAnsi="Arial" w:eastAsiaTheme="minorHAnsi" w:cstheme="minorBidi"/>
          <w:szCs w:val="22"/>
          <w:lang w:eastAsia="en-US"/>
        </w:rPr>
        <w:t xml:space="preserve">influence </w:t>
      </w:r>
      <w:r>
        <w:rPr>
          <w:rFonts w:ascii="Arial" w:hAnsi="Arial" w:eastAsiaTheme="minorHAnsi" w:cstheme="minorBidi"/>
          <w:szCs w:val="22"/>
          <w:lang w:eastAsia="en-US"/>
        </w:rPr>
        <w:t xml:space="preserve">their </w:t>
      </w:r>
      <w:r w:rsidRPr="0076106B">
        <w:rPr>
          <w:rFonts w:ascii="Arial" w:hAnsi="Arial" w:eastAsiaTheme="minorHAnsi" w:cstheme="minorBidi"/>
          <w:szCs w:val="22"/>
          <w:lang w:eastAsia="en-US"/>
        </w:rPr>
        <w:t>opportunit</w:t>
      </w:r>
      <w:r>
        <w:rPr>
          <w:rFonts w:ascii="Arial" w:hAnsi="Arial" w:eastAsiaTheme="minorHAnsi" w:cstheme="minorBidi"/>
          <w:szCs w:val="22"/>
          <w:lang w:eastAsia="en-US"/>
        </w:rPr>
        <w:t>y</w:t>
      </w:r>
      <w:r w:rsidRPr="0076106B">
        <w:rPr>
          <w:rFonts w:ascii="Arial" w:hAnsi="Arial" w:eastAsiaTheme="minorHAnsi" w:cstheme="minorBidi"/>
          <w:szCs w:val="22"/>
          <w:lang w:eastAsia="en-US"/>
        </w:rPr>
        <w:t xml:space="preserve"> for good mental and physical health</w:t>
      </w:r>
      <w:r>
        <w:rPr>
          <w:rFonts w:ascii="Arial" w:hAnsi="Arial" w:eastAsiaTheme="minorHAnsi" w:cstheme="minorBidi"/>
          <w:szCs w:val="22"/>
          <w:lang w:eastAsia="en-US"/>
        </w:rPr>
        <w:t xml:space="preserve"> – and </w:t>
      </w:r>
      <w:r w:rsidRPr="0076106B">
        <w:rPr>
          <w:rFonts w:ascii="Arial" w:hAnsi="Arial" w:eastAsiaTheme="minorHAnsi" w:cstheme="minorBidi"/>
          <w:szCs w:val="22"/>
          <w:lang w:eastAsia="en-US"/>
        </w:rPr>
        <w:t xml:space="preserve">are systematic, unfair and </w:t>
      </w:r>
      <w:r>
        <w:rPr>
          <w:rFonts w:ascii="Arial" w:hAnsi="Arial" w:eastAsiaTheme="minorHAnsi" w:cstheme="minorBidi"/>
          <w:szCs w:val="22"/>
          <w:lang w:eastAsia="en-US"/>
        </w:rPr>
        <w:t xml:space="preserve">often </w:t>
      </w:r>
      <w:r w:rsidRPr="0076106B">
        <w:rPr>
          <w:rFonts w:ascii="Arial" w:hAnsi="Arial" w:eastAsiaTheme="minorHAnsi" w:cstheme="minorBidi"/>
          <w:szCs w:val="22"/>
          <w:lang w:eastAsia="en-US"/>
        </w:rPr>
        <w:t>avoidable.</w:t>
      </w:r>
      <w:r>
        <w:rPr>
          <w:rFonts w:ascii="Arial" w:hAnsi="Arial" w:eastAsiaTheme="minorHAnsi" w:cstheme="minorBidi"/>
          <w:szCs w:val="22"/>
          <w:lang w:eastAsia="en-US"/>
        </w:rPr>
        <w:t xml:space="preserve"> </w:t>
      </w:r>
      <w:hyperlink w:tgtFrame="_blank" w:history="1" r:id="rId27">
        <w:r w:rsidRPr="0076106B">
          <w:rPr>
            <w:rFonts w:ascii="Arial" w:hAnsi="Arial" w:eastAsiaTheme="minorHAnsi" w:cstheme="minorBidi"/>
            <w:szCs w:val="22"/>
            <w:lang w:eastAsia="en-US"/>
          </w:rPr>
          <w:t xml:space="preserve">Addressing these </w:t>
        </w:r>
        <w:r>
          <w:rPr>
            <w:rFonts w:ascii="Arial" w:hAnsi="Arial" w:eastAsiaTheme="minorHAnsi" w:cstheme="minorBidi"/>
            <w:szCs w:val="22"/>
            <w:lang w:eastAsia="en-US"/>
          </w:rPr>
          <w:t xml:space="preserve">social, economic and environmental conditions is a fundamental part of </w:t>
        </w:r>
      </w:hyperlink>
      <w:r w:rsidRPr="0076106B">
        <w:rPr>
          <w:rFonts w:ascii="Arial" w:hAnsi="Arial" w:eastAsiaTheme="minorHAnsi" w:cstheme="minorBidi"/>
          <w:szCs w:val="22"/>
          <w:lang w:eastAsia="en-US"/>
        </w:rPr>
        <w:t>reducing health inequalities.</w:t>
      </w:r>
      <w:r>
        <w:rPr>
          <w:rFonts w:ascii="Arial" w:hAnsi="Arial" w:eastAsiaTheme="minorHAnsi" w:cstheme="minorBidi"/>
          <w:szCs w:val="22"/>
          <w:lang w:eastAsia="en-US"/>
        </w:rPr>
        <w:t xml:space="preserve"> Examples of the factors which can drive health inequalities include:</w:t>
      </w:r>
    </w:p>
    <w:p w:rsidR="009479FA" w:rsidP="00AF10D4" w:rsidRDefault="009479FA" w14:paraId="4C86E83F" w14:textId="77777777">
      <w:pPr>
        <w:pStyle w:val="selectionshareable"/>
        <w:numPr>
          <w:ilvl w:val="0"/>
          <w:numId w:val="11"/>
        </w:numPr>
        <w:shd w:val="clear" w:color="auto" w:fill="FFFFFF"/>
        <w:spacing w:before="0" w:beforeAutospacing="0" w:after="200" w:afterAutospacing="0"/>
        <w:rPr>
          <w:rFonts w:ascii="Arial" w:hAnsi="Arial" w:eastAsiaTheme="minorHAnsi" w:cstheme="minorBidi"/>
          <w:szCs w:val="22"/>
          <w:lang w:eastAsia="en-US"/>
        </w:rPr>
        <w:sectPr w:rsidR="009479FA" w:rsidSect="00E5007A">
          <w:headerReference w:type="even" r:id="rId28"/>
          <w:headerReference w:type="default" r:id="rId29"/>
          <w:footerReference w:type="even" r:id="rId30"/>
          <w:footerReference w:type="default" r:id="rId31"/>
          <w:headerReference w:type="first" r:id="rId32"/>
          <w:pgSz w:w="11906" w:h="16838" w:orient="portrait"/>
          <w:pgMar w:top="1985" w:right="1418" w:bottom="1134" w:left="851" w:header="624" w:footer="510" w:gutter="0"/>
          <w:cols w:space="708"/>
          <w:docGrid w:linePitch="360"/>
        </w:sectPr>
      </w:pPr>
    </w:p>
    <w:p w:rsidR="009479FA" w:rsidP="00AF10D4" w:rsidRDefault="009479FA" w14:paraId="116CAE87" w14:textId="0791CA76">
      <w:pPr>
        <w:pStyle w:val="selectionshareable"/>
        <w:numPr>
          <w:ilvl w:val="0"/>
          <w:numId w:val="11"/>
        </w:numPr>
        <w:shd w:val="clear" w:color="auto" w:fill="FFFFFF"/>
        <w:spacing w:before="0" w:beforeAutospacing="0" w:after="0" w:afterAutospacing="0"/>
        <w:rPr>
          <w:rFonts w:ascii="Arial" w:hAnsi="Arial" w:eastAsiaTheme="minorHAnsi" w:cstheme="minorBidi"/>
          <w:szCs w:val="22"/>
          <w:lang w:eastAsia="en-US"/>
        </w:rPr>
      </w:pPr>
      <w:r>
        <w:rPr>
          <w:rFonts w:ascii="Arial" w:hAnsi="Arial" w:eastAsiaTheme="minorHAnsi" w:cstheme="minorBidi"/>
          <w:szCs w:val="22"/>
          <w:lang w:eastAsia="en-US"/>
        </w:rPr>
        <w:t>Age;</w:t>
      </w:r>
    </w:p>
    <w:p w:rsidRPr="009C0718" w:rsidR="009C0718" w:rsidP="00AF10D4" w:rsidRDefault="009C0718" w14:paraId="2A624136" w14:textId="598FB02F">
      <w:pPr>
        <w:pStyle w:val="selectionshareable"/>
        <w:numPr>
          <w:ilvl w:val="0"/>
          <w:numId w:val="11"/>
        </w:numPr>
        <w:shd w:val="clear" w:color="auto" w:fill="FFFFFF"/>
        <w:spacing w:before="0" w:beforeAutospacing="0" w:after="0" w:afterAutospacing="0"/>
        <w:rPr>
          <w:rFonts w:ascii="Arial" w:hAnsi="Arial" w:eastAsiaTheme="minorHAnsi" w:cstheme="minorBidi"/>
          <w:szCs w:val="22"/>
          <w:lang w:eastAsia="en-US"/>
        </w:rPr>
      </w:pPr>
      <w:r>
        <w:rPr>
          <w:rFonts w:ascii="Arial" w:hAnsi="Arial" w:eastAsiaTheme="minorHAnsi" w:cstheme="minorBidi"/>
          <w:szCs w:val="22"/>
          <w:lang w:eastAsia="en-US"/>
        </w:rPr>
        <w:t>Disability;</w:t>
      </w:r>
    </w:p>
    <w:p w:rsidRPr="00940DC3" w:rsidR="00940DC3" w:rsidP="00AF10D4" w:rsidRDefault="009C0718" w14:paraId="5F9408FD" w14:textId="65CDDC37">
      <w:pPr>
        <w:pStyle w:val="selectionshareable"/>
        <w:numPr>
          <w:ilvl w:val="0"/>
          <w:numId w:val="11"/>
        </w:numPr>
        <w:shd w:val="clear" w:color="auto" w:fill="FFFFFF"/>
        <w:spacing w:before="0" w:beforeAutospacing="0" w:after="0" w:afterAutospacing="0"/>
        <w:rPr>
          <w:rFonts w:ascii="Arial" w:hAnsi="Arial" w:eastAsiaTheme="minorHAnsi" w:cstheme="minorBidi"/>
          <w:szCs w:val="22"/>
          <w:lang w:eastAsia="en-US"/>
        </w:rPr>
      </w:pPr>
      <w:r>
        <w:rPr>
          <w:rFonts w:ascii="Arial" w:hAnsi="Arial" w:eastAsiaTheme="minorHAnsi" w:cstheme="minorBidi"/>
          <w:szCs w:val="22"/>
          <w:lang w:eastAsia="en-US"/>
        </w:rPr>
        <w:t>Gender reassignment;</w:t>
      </w:r>
    </w:p>
    <w:p w:rsidR="009C0718" w:rsidP="00AF10D4" w:rsidRDefault="00940DC3" w14:paraId="7F10C4CA" w14:textId="718BB80B">
      <w:pPr>
        <w:pStyle w:val="selectionshareable"/>
        <w:numPr>
          <w:ilvl w:val="0"/>
          <w:numId w:val="11"/>
        </w:numPr>
        <w:shd w:val="clear" w:color="auto" w:fill="FFFFFF"/>
        <w:spacing w:before="0" w:beforeAutospacing="0" w:after="0" w:afterAutospacing="0"/>
        <w:rPr>
          <w:rFonts w:ascii="Arial" w:hAnsi="Arial" w:eastAsiaTheme="minorHAnsi" w:cstheme="minorBidi"/>
          <w:szCs w:val="22"/>
          <w:lang w:eastAsia="en-US"/>
        </w:rPr>
      </w:pPr>
      <w:r>
        <w:rPr>
          <w:rFonts w:ascii="Arial" w:hAnsi="Arial" w:eastAsiaTheme="minorHAnsi" w:cstheme="minorBidi"/>
          <w:szCs w:val="22"/>
          <w:lang w:eastAsia="en-US"/>
        </w:rPr>
        <w:t>Marriage and civil partnership;</w:t>
      </w:r>
    </w:p>
    <w:p w:rsidR="00940DC3" w:rsidP="00AF10D4" w:rsidRDefault="00940DC3" w14:paraId="182081A6" w14:textId="011BA8CF">
      <w:pPr>
        <w:pStyle w:val="selectionshareable"/>
        <w:numPr>
          <w:ilvl w:val="0"/>
          <w:numId w:val="11"/>
        </w:numPr>
        <w:shd w:val="clear" w:color="auto" w:fill="FFFFFF"/>
        <w:spacing w:before="0" w:beforeAutospacing="0" w:after="0" w:afterAutospacing="0"/>
        <w:rPr>
          <w:rFonts w:ascii="Arial" w:hAnsi="Arial" w:eastAsiaTheme="minorHAnsi" w:cstheme="minorBidi"/>
          <w:szCs w:val="22"/>
          <w:lang w:eastAsia="en-US"/>
        </w:rPr>
      </w:pPr>
      <w:r>
        <w:rPr>
          <w:rFonts w:ascii="Arial" w:hAnsi="Arial" w:eastAsiaTheme="minorHAnsi" w:cstheme="minorBidi"/>
          <w:szCs w:val="22"/>
          <w:lang w:eastAsia="en-US"/>
        </w:rPr>
        <w:t>Pregnancy and maternity;</w:t>
      </w:r>
    </w:p>
    <w:p w:rsidR="00940DC3" w:rsidP="00AF10D4" w:rsidRDefault="00940DC3" w14:paraId="0260CF56" w14:textId="357C667E">
      <w:pPr>
        <w:pStyle w:val="selectionshareable"/>
        <w:numPr>
          <w:ilvl w:val="0"/>
          <w:numId w:val="11"/>
        </w:numPr>
        <w:shd w:val="clear" w:color="auto" w:fill="FFFFFF"/>
        <w:spacing w:before="0" w:beforeAutospacing="0" w:after="0" w:afterAutospacing="0"/>
        <w:rPr>
          <w:rFonts w:ascii="Arial" w:hAnsi="Arial" w:eastAsiaTheme="minorHAnsi" w:cstheme="minorBidi"/>
          <w:szCs w:val="22"/>
          <w:lang w:eastAsia="en-US"/>
        </w:rPr>
      </w:pPr>
      <w:r>
        <w:rPr>
          <w:rFonts w:ascii="Arial" w:hAnsi="Arial" w:eastAsiaTheme="minorHAnsi" w:cstheme="minorBidi"/>
          <w:szCs w:val="22"/>
          <w:lang w:eastAsia="en-US"/>
        </w:rPr>
        <w:t>Ethnicity / race;</w:t>
      </w:r>
    </w:p>
    <w:p w:rsidR="00940DC3" w:rsidP="00AF10D4" w:rsidRDefault="00940DC3" w14:paraId="7C5F36A0" w14:textId="309CCC2C">
      <w:pPr>
        <w:pStyle w:val="selectionshareable"/>
        <w:numPr>
          <w:ilvl w:val="0"/>
          <w:numId w:val="11"/>
        </w:numPr>
        <w:shd w:val="clear" w:color="auto" w:fill="FFFFFF"/>
        <w:spacing w:before="0" w:beforeAutospacing="0" w:after="0" w:afterAutospacing="0"/>
        <w:rPr>
          <w:rFonts w:ascii="Arial" w:hAnsi="Arial" w:eastAsiaTheme="minorHAnsi" w:cstheme="minorBidi"/>
          <w:szCs w:val="22"/>
          <w:lang w:eastAsia="en-US"/>
        </w:rPr>
      </w:pPr>
      <w:r>
        <w:rPr>
          <w:rFonts w:ascii="Arial" w:hAnsi="Arial" w:eastAsiaTheme="minorHAnsi" w:cstheme="minorBidi"/>
          <w:szCs w:val="22"/>
          <w:lang w:eastAsia="en-US"/>
        </w:rPr>
        <w:t>Religion / belief;</w:t>
      </w:r>
    </w:p>
    <w:p w:rsidR="00940DC3" w:rsidP="00AF10D4" w:rsidRDefault="00940DC3" w14:paraId="0A518AE8" w14:textId="285A24A2">
      <w:pPr>
        <w:pStyle w:val="selectionshareable"/>
        <w:numPr>
          <w:ilvl w:val="0"/>
          <w:numId w:val="11"/>
        </w:numPr>
        <w:shd w:val="clear" w:color="auto" w:fill="FFFFFF"/>
        <w:spacing w:before="0" w:beforeAutospacing="0" w:after="0" w:afterAutospacing="0"/>
        <w:rPr>
          <w:rFonts w:ascii="Arial" w:hAnsi="Arial" w:eastAsiaTheme="minorHAnsi" w:cstheme="minorBidi"/>
          <w:szCs w:val="22"/>
          <w:lang w:eastAsia="en-US"/>
        </w:rPr>
      </w:pPr>
      <w:r>
        <w:rPr>
          <w:rFonts w:ascii="Arial" w:hAnsi="Arial" w:eastAsiaTheme="minorHAnsi" w:cstheme="minorBidi"/>
          <w:szCs w:val="22"/>
          <w:lang w:eastAsia="en-US"/>
        </w:rPr>
        <w:t>Sex;</w:t>
      </w:r>
    </w:p>
    <w:p w:rsidR="00940DC3" w:rsidP="00AF10D4" w:rsidRDefault="00940DC3" w14:paraId="1D27B4EA" w14:textId="169DB491">
      <w:pPr>
        <w:pStyle w:val="selectionshareable"/>
        <w:numPr>
          <w:ilvl w:val="0"/>
          <w:numId w:val="11"/>
        </w:numPr>
        <w:shd w:val="clear" w:color="auto" w:fill="FFFFFF"/>
        <w:spacing w:before="0" w:beforeAutospacing="0" w:after="0" w:afterAutospacing="0"/>
        <w:rPr>
          <w:rFonts w:ascii="Arial" w:hAnsi="Arial" w:eastAsiaTheme="minorHAnsi" w:cstheme="minorBidi"/>
          <w:szCs w:val="22"/>
          <w:lang w:eastAsia="en-US"/>
        </w:rPr>
      </w:pPr>
      <w:r>
        <w:rPr>
          <w:rFonts w:ascii="Arial" w:hAnsi="Arial" w:eastAsiaTheme="minorHAnsi" w:cstheme="minorBidi"/>
          <w:szCs w:val="22"/>
          <w:lang w:eastAsia="en-US"/>
        </w:rPr>
        <w:t>Sexual orientation;</w:t>
      </w:r>
    </w:p>
    <w:p w:rsidR="009479FA" w:rsidP="00AF10D4" w:rsidRDefault="009479FA" w14:paraId="0EA9FE93" w14:textId="1A27C25D">
      <w:pPr>
        <w:pStyle w:val="selectionshareable"/>
        <w:numPr>
          <w:ilvl w:val="0"/>
          <w:numId w:val="11"/>
        </w:numPr>
        <w:shd w:val="clear" w:color="auto" w:fill="FFFFFF"/>
        <w:spacing w:before="0" w:beforeAutospacing="0" w:after="0" w:afterAutospacing="0"/>
        <w:rPr>
          <w:rFonts w:ascii="Arial" w:hAnsi="Arial" w:eastAsiaTheme="minorHAnsi" w:cstheme="minorBidi"/>
          <w:szCs w:val="22"/>
          <w:lang w:eastAsia="en-US"/>
        </w:rPr>
      </w:pPr>
      <w:r>
        <w:rPr>
          <w:rFonts w:ascii="Arial" w:hAnsi="Arial" w:eastAsiaTheme="minorHAnsi" w:cstheme="minorBidi"/>
          <w:szCs w:val="22"/>
          <w:lang w:eastAsia="en-US"/>
        </w:rPr>
        <w:t>Income;</w:t>
      </w:r>
    </w:p>
    <w:p w:rsidR="007D20AF" w:rsidP="00AF10D4" w:rsidRDefault="00EC4B70" w14:paraId="493C6F65" w14:textId="4C1BCF79">
      <w:pPr>
        <w:pStyle w:val="selectionshareable"/>
        <w:numPr>
          <w:ilvl w:val="0"/>
          <w:numId w:val="11"/>
        </w:numPr>
        <w:shd w:val="clear" w:color="auto" w:fill="FFFFFF"/>
        <w:spacing w:before="0" w:beforeAutospacing="0" w:after="0" w:afterAutospacing="0"/>
        <w:rPr>
          <w:rFonts w:ascii="Arial" w:hAnsi="Arial" w:eastAsiaTheme="minorHAnsi" w:cstheme="minorBidi"/>
          <w:szCs w:val="22"/>
          <w:lang w:eastAsia="en-US"/>
        </w:rPr>
      </w:pPr>
      <w:r>
        <w:rPr>
          <w:rFonts w:ascii="Arial" w:hAnsi="Arial" w:eastAsiaTheme="minorHAnsi" w:cstheme="minorBidi"/>
          <w:szCs w:val="22"/>
          <w:lang w:eastAsia="en-US"/>
        </w:rPr>
        <w:t>E</w:t>
      </w:r>
      <w:r w:rsidR="007D20AF">
        <w:rPr>
          <w:rFonts w:ascii="Arial" w:hAnsi="Arial" w:eastAsiaTheme="minorHAnsi" w:cstheme="minorBidi"/>
          <w:szCs w:val="22"/>
          <w:lang w:eastAsia="en-US"/>
        </w:rPr>
        <w:t>mployment</w:t>
      </w:r>
      <w:r>
        <w:rPr>
          <w:rFonts w:ascii="Arial" w:hAnsi="Arial" w:eastAsiaTheme="minorHAnsi" w:cstheme="minorBidi"/>
          <w:szCs w:val="22"/>
          <w:lang w:eastAsia="en-US"/>
        </w:rPr>
        <w:t>;</w:t>
      </w:r>
    </w:p>
    <w:p w:rsidR="009479FA" w:rsidP="00AF10D4" w:rsidRDefault="009479FA" w14:paraId="50A0E95D" w14:textId="75FBA1AE">
      <w:pPr>
        <w:pStyle w:val="selectionshareable"/>
        <w:numPr>
          <w:ilvl w:val="0"/>
          <w:numId w:val="11"/>
        </w:numPr>
        <w:shd w:val="clear" w:color="auto" w:fill="FFFFFF"/>
        <w:spacing w:before="0" w:beforeAutospacing="0" w:after="0" w:afterAutospacing="0"/>
        <w:rPr>
          <w:rFonts w:ascii="Arial" w:hAnsi="Arial" w:eastAsiaTheme="minorHAnsi" w:cstheme="minorBidi"/>
          <w:szCs w:val="22"/>
          <w:lang w:eastAsia="en-US"/>
        </w:rPr>
      </w:pPr>
      <w:r>
        <w:rPr>
          <w:rFonts w:ascii="Arial" w:hAnsi="Arial" w:eastAsiaTheme="minorHAnsi" w:cstheme="minorBidi"/>
          <w:szCs w:val="22"/>
          <w:lang w:eastAsia="en-US"/>
        </w:rPr>
        <w:t>Education;</w:t>
      </w:r>
    </w:p>
    <w:p w:rsidR="009479FA" w:rsidP="00AF10D4" w:rsidRDefault="00EC4B70" w14:paraId="4E82D22D" w14:textId="587A9698">
      <w:pPr>
        <w:pStyle w:val="selectionshareable"/>
        <w:numPr>
          <w:ilvl w:val="0"/>
          <w:numId w:val="11"/>
        </w:numPr>
        <w:shd w:val="clear" w:color="auto" w:fill="FFFFFF"/>
        <w:spacing w:before="0" w:beforeAutospacing="0" w:after="0" w:afterAutospacing="0"/>
        <w:rPr>
          <w:rFonts w:ascii="Arial" w:hAnsi="Arial" w:eastAsiaTheme="minorHAnsi" w:cstheme="minorBidi"/>
          <w:szCs w:val="22"/>
          <w:lang w:eastAsia="en-US"/>
        </w:rPr>
      </w:pPr>
      <w:r>
        <w:rPr>
          <w:rFonts w:ascii="Arial" w:hAnsi="Arial" w:eastAsiaTheme="minorHAnsi" w:cstheme="minorBidi"/>
          <w:szCs w:val="22"/>
          <w:lang w:eastAsia="en-US"/>
        </w:rPr>
        <w:t>P</w:t>
      </w:r>
      <w:r w:rsidR="007D20AF">
        <w:rPr>
          <w:rFonts w:ascii="Arial" w:hAnsi="Arial" w:eastAsiaTheme="minorHAnsi" w:cstheme="minorBidi"/>
          <w:szCs w:val="22"/>
          <w:lang w:eastAsia="en-US"/>
        </w:rPr>
        <w:t>overty</w:t>
      </w:r>
      <w:r w:rsidR="009479FA">
        <w:rPr>
          <w:rFonts w:ascii="Arial" w:hAnsi="Arial" w:eastAsiaTheme="minorHAnsi" w:cstheme="minorBidi"/>
          <w:szCs w:val="22"/>
          <w:lang w:eastAsia="en-US"/>
        </w:rPr>
        <w:t xml:space="preserve">; </w:t>
      </w:r>
    </w:p>
    <w:p w:rsidRPr="00EC4B70" w:rsidR="009479FA" w:rsidP="00AF10D4" w:rsidRDefault="009479FA" w14:paraId="31CAD533" w14:textId="0CB5D8FC">
      <w:pPr>
        <w:pStyle w:val="selectionshareable"/>
        <w:numPr>
          <w:ilvl w:val="0"/>
          <w:numId w:val="11"/>
        </w:numPr>
        <w:shd w:val="clear" w:color="auto" w:fill="FFFFFF"/>
        <w:spacing w:before="0" w:beforeAutospacing="0" w:after="0" w:afterAutospacing="0"/>
        <w:rPr>
          <w:rFonts w:ascii="Arial" w:hAnsi="Arial" w:eastAsiaTheme="minorHAnsi" w:cstheme="minorBidi"/>
          <w:szCs w:val="22"/>
          <w:lang w:eastAsia="en-US"/>
        </w:rPr>
      </w:pPr>
      <w:r>
        <w:rPr>
          <w:rFonts w:ascii="Arial" w:hAnsi="Arial" w:eastAsiaTheme="minorHAnsi" w:cstheme="minorBidi"/>
          <w:szCs w:val="22"/>
          <w:lang w:eastAsia="en-US"/>
        </w:rPr>
        <w:t>Housing;</w:t>
      </w:r>
    </w:p>
    <w:p w:rsidR="007D20AF" w:rsidP="00AF10D4" w:rsidRDefault="007D20AF" w14:paraId="0F7D8097" w14:textId="04F2DF2B">
      <w:pPr>
        <w:pStyle w:val="selectionshareable"/>
        <w:numPr>
          <w:ilvl w:val="0"/>
          <w:numId w:val="11"/>
        </w:numPr>
        <w:shd w:val="clear" w:color="auto" w:fill="FFFFFF"/>
        <w:spacing w:before="0" w:beforeAutospacing="0" w:after="0" w:afterAutospacing="0"/>
        <w:rPr>
          <w:rFonts w:ascii="Arial" w:hAnsi="Arial" w:eastAsiaTheme="minorHAnsi" w:cstheme="minorBidi"/>
          <w:szCs w:val="22"/>
          <w:lang w:eastAsia="en-US"/>
        </w:rPr>
      </w:pPr>
      <w:r w:rsidRPr="00EC4B70">
        <w:rPr>
          <w:rFonts w:ascii="Arial" w:hAnsi="Arial" w:eastAsiaTheme="minorHAnsi" w:cstheme="minorBidi"/>
          <w:szCs w:val="22"/>
          <w:lang w:eastAsia="en-US"/>
        </w:rPr>
        <w:t>Living environment</w:t>
      </w:r>
      <w:r w:rsidRPr="00EC4B70" w:rsidR="00EC4B70">
        <w:rPr>
          <w:rFonts w:ascii="Arial" w:hAnsi="Arial" w:eastAsiaTheme="minorHAnsi" w:cstheme="minorBidi"/>
          <w:szCs w:val="22"/>
          <w:lang w:eastAsia="en-US"/>
        </w:rPr>
        <w:t>;</w:t>
      </w:r>
    </w:p>
    <w:p w:rsidRPr="00EC4B70" w:rsidR="00940DC3" w:rsidP="00AF10D4" w:rsidRDefault="00940DC3" w14:paraId="74682519" w14:textId="3090FF86">
      <w:pPr>
        <w:pStyle w:val="selectionshareable"/>
        <w:numPr>
          <w:ilvl w:val="0"/>
          <w:numId w:val="11"/>
        </w:numPr>
        <w:shd w:val="clear" w:color="auto" w:fill="FFFFFF"/>
        <w:spacing w:before="0" w:beforeAutospacing="0" w:after="0" w:afterAutospacing="0"/>
        <w:rPr>
          <w:rFonts w:ascii="Arial" w:hAnsi="Arial" w:eastAsiaTheme="minorHAnsi" w:cstheme="minorBidi"/>
          <w:szCs w:val="22"/>
          <w:lang w:eastAsia="en-US"/>
        </w:rPr>
      </w:pPr>
      <w:r>
        <w:rPr>
          <w:rFonts w:ascii="Arial" w:hAnsi="Arial" w:eastAsiaTheme="minorHAnsi" w:cstheme="minorBidi"/>
          <w:szCs w:val="22"/>
          <w:lang w:eastAsia="en-US"/>
        </w:rPr>
        <w:t>Geographical location;</w:t>
      </w:r>
    </w:p>
    <w:p w:rsidRPr="00EC4B70" w:rsidR="00EC4B70" w:rsidP="00AF10D4" w:rsidRDefault="00EC4B70" w14:paraId="350016B1" w14:textId="6D7A5DF4">
      <w:pPr>
        <w:pStyle w:val="selectionshareable"/>
        <w:numPr>
          <w:ilvl w:val="0"/>
          <w:numId w:val="11"/>
        </w:numPr>
        <w:shd w:val="clear" w:color="auto" w:fill="FFFFFF"/>
        <w:spacing w:before="0" w:beforeAutospacing="0" w:after="0" w:afterAutospacing="0"/>
        <w:rPr>
          <w:rFonts w:ascii="Arial" w:hAnsi="Arial" w:eastAsiaTheme="minorHAnsi" w:cstheme="minorBidi"/>
          <w:szCs w:val="22"/>
          <w:lang w:eastAsia="en-US"/>
        </w:rPr>
      </w:pPr>
      <w:r>
        <w:rPr>
          <w:rFonts w:ascii="Arial" w:hAnsi="Arial" w:eastAsiaTheme="minorHAnsi" w:cstheme="minorBidi"/>
          <w:szCs w:val="22"/>
          <w:lang w:eastAsia="en-US"/>
        </w:rPr>
        <w:t>Access to services;</w:t>
      </w:r>
    </w:p>
    <w:p w:rsidR="007D20AF" w:rsidP="00AF10D4" w:rsidRDefault="00EC4B70" w14:paraId="73172F87" w14:textId="3E71F63B">
      <w:pPr>
        <w:pStyle w:val="selectionshareable"/>
        <w:numPr>
          <w:ilvl w:val="0"/>
          <w:numId w:val="11"/>
        </w:numPr>
        <w:shd w:val="clear" w:color="auto" w:fill="FFFFFF"/>
        <w:spacing w:before="0" w:beforeAutospacing="0" w:after="0" w:afterAutospacing="0"/>
        <w:rPr>
          <w:rFonts w:ascii="Arial" w:hAnsi="Arial" w:eastAsiaTheme="minorHAnsi" w:cstheme="minorBidi"/>
          <w:szCs w:val="22"/>
          <w:lang w:eastAsia="en-US"/>
        </w:rPr>
      </w:pPr>
      <w:r>
        <w:rPr>
          <w:rFonts w:ascii="Arial" w:hAnsi="Arial" w:eastAsiaTheme="minorHAnsi" w:cstheme="minorBidi"/>
          <w:szCs w:val="22"/>
          <w:lang w:eastAsia="en-US"/>
        </w:rPr>
        <w:t>C</w:t>
      </w:r>
      <w:r w:rsidR="007D20AF">
        <w:rPr>
          <w:rFonts w:ascii="Arial" w:hAnsi="Arial" w:eastAsiaTheme="minorHAnsi" w:cstheme="minorBidi"/>
          <w:szCs w:val="22"/>
          <w:lang w:eastAsia="en-US"/>
        </w:rPr>
        <w:t>rime</w:t>
      </w:r>
      <w:r>
        <w:rPr>
          <w:rFonts w:ascii="Arial" w:hAnsi="Arial" w:eastAsiaTheme="minorHAnsi" w:cstheme="minorBidi"/>
          <w:szCs w:val="22"/>
          <w:lang w:eastAsia="en-US"/>
        </w:rPr>
        <w:t>;</w:t>
      </w:r>
    </w:p>
    <w:p w:rsidR="007D20AF" w:rsidP="00AF10D4" w:rsidRDefault="00EC4B70" w14:paraId="2CB5D149" w14:textId="21D01732">
      <w:pPr>
        <w:pStyle w:val="selectionshareable"/>
        <w:numPr>
          <w:ilvl w:val="0"/>
          <w:numId w:val="11"/>
        </w:numPr>
        <w:shd w:val="clear" w:color="auto" w:fill="FFFFFF"/>
        <w:spacing w:before="0" w:beforeAutospacing="0" w:after="0" w:afterAutospacing="0"/>
        <w:rPr>
          <w:rFonts w:ascii="Arial" w:hAnsi="Arial" w:eastAsiaTheme="minorHAnsi" w:cstheme="minorBidi"/>
          <w:szCs w:val="22"/>
          <w:lang w:eastAsia="en-US"/>
        </w:rPr>
      </w:pPr>
      <w:r>
        <w:rPr>
          <w:rFonts w:ascii="Arial" w:hAnsi="Arial" w:eastAsiaTheme="minorHAnsi" w:cstheme="minorBidi"/>
          <w:szCs w:val="22"/>
          <w:lang w:eastAsia="en-US"/>
        </w:rPr>
        <w:t>C</w:t>
      </w:r>
      <w:r w:rsidR="007D20AF">
        <w:rPr>
          <w:rFonts w:ascii="Arial" w:hAnsi="Arial" w:eastAsiaTheme="minorHAnsi" w:cstheme="minorBidi"/>
          <w:szCs w:val="22"/>
          <w:lang w:eastAsia="en-US"/>
        </w:rPr>
        <w:t>aring responsibilities</w:t>
      </w:r>
      <w:r>
        <w:rPr>
          <w:rFonts w:ascii="Arial" w:hAnsi="Arial" w:eastAsiaTheme="minorHAnsi" w:cstheme="minorBidi"/>
          <w:szCs w:val="22"/>
          <w:lang w:eastAsia="en-US"/>
        </w:rPr>
        <w:t xml:space="preserve">; and </w:t>
      </w:r>
    </w:p>
    <w:p w:rsidRPr="00EC4B70" w:rsidR="009479FA" w:rsidP="00AF10D4" w:rsidRDefault="00EC4B70" w14:paraId="6E889160" w14:textId="6D099931">
      <w:pPr>
        <w:pStyle w:val="selectionshareable"/>
        <w:numPr>
          <w:ilvl w:val="0"/>
          <w:numId w:val="11"/>
        </w:numPr>
        <w:shd w:val="clear" w:color="auto" w:fill="FFFFFF"/>
        <w:spacing w:before="0" w:beforeAutospacing="0" w:after="200" w:afterAutospacing="0"/>
        <w:rPr>
          <w:rFonts w:ascii="Arial" w:hAnsi="Arial" w:eastAsiaTheme="minorHAnsi" w:cstheme="minorBidi"/>
          <w:szCs w:val="22"/>
          <w:lang w:eastAsia="en-US"/>
        </w:rPr>
        <w:sectPr w:rsidRPr="00EC4B70" w:rsidR="009479FA" w:rsidSect="009479FA">
          <w:type w:val="continuous"/>
          <w:pgSz w:w="11906" w:h="16838" w:orient="portrait"/>
          <w:pgMar w:top="1985" w:right="1418" w:bottom="1134" w:left="851" w:header="624" w:footer="510" w:gutter="0"/>
          <w:cols w:space="708" w:num="2"/>
          <w:docGrid w:linePitch="360"/>
        </w:sectPr>
      </w:pPr>
      <w:r>
        <w:rPr>
          <w:rFonts w:ascii="Arial" w:hAnsi="Arial" w:eastAsiaTheme="minorHAnsi" w:cstheme="minorBidi"/>
          <w:szCs w:val="22"/>
          <w:lang w:eastAsia="en-US"/>
        </w:rPr>
        <w:t xml:space="preserve">Any </w:t>
      </w:r>
      <w:r w:rsidR="007D20AF">
        <w:rPr>
          <w:rFonts w:ascii="Arial" w:hAnsi="Arial" w:eastAsiaTheme="minorHAnsi" w:cstheme="minorBidi"/>
          <w:szCs w:val="22"/>
          <w:lang w:eastAsia="en-US"/>
        </w:rPr>
        <w:t>combination of the</w:t>
      </w:r>
      <w:r>
        <w:rPr>
          <w:rFonts w:ascii="Arial" w:hAnsi="Arial" w:eastAsiaTheme="minorHAnsi" w:cstheme="minorBidi"/>
          <w:szCs w:val="22"/>
          <w:lang w:eastAsia="en-US"/>
        </w:rPr>
        <w:t xml:space="preserve"> above. </w:t>
      </w:r>
    </w:p>
    <w:p w:rsidR="00CC4DB8" w:rsidP="00EC4B70" w:rsidRDefault="00540684" w14:paraId="31282F0B" w14:textId="45EEFAC9">
      <w:pPr>
        <w:spacing w:before="240"/>
      </w:pPr>
      <w:r>
        <w:t>T</w:t>
      </w:r>
      <w:r w:rsidR="009479FA">
        <w:t xml:space="preserve">he </w:t>
      </w:r>
      <w:r w:rsidR="0076106B">
        <w:t xml:space="preserve">Health and </w:t>
      </w:r>
      <w:r w:rsidR="009479FA">
        <w:t>S</w:t>
      </w:r>
      <w:r w:rsidR="0076106B">
        <w:t xml:space="preserve">ocial </w:t>
      </w:r>
      <w:r w:rsidR="009479FA">
        <w:t>C</w:t>
      </w:r>
      <w:r w:rsidR="0076106B">
        <w:t>are Act 2022</w:t>
      </w:r>
      <w:r w:rsidR="00C26341">
        <w:t xml:space="preserve"> </w:t>
      </w:r>
      <w:r w:rsidR="009479FA">
        <w:t xml:space="preserve">states that local </w:t>
      </w:r>
      <w:r w:rsidR="00CC4DB8">
        <w:t>Integrated Care S</w:t>
      </w:r>
      <w:r w:rsidR="0076106B">
        <w:t>ystems (ICS) are responsible for tackling health inequalities within their local areas</w:t>
      </w:r>
      <w:r w:rsidR="00CC4DB8">
        <w:t>.</w:t>
      </w:r>
      <w:r w:rsidR="0076106B">
        <w:t xml:space="preserve"> </w:t>
      </w:r>
      <w:r w:rsidR="00CC4DB8">
        <w:t xml:space="preserve">Before the development of ICS in their current structure, a range of different organisations – from </w:t>
      </w:r>
      <w:r>
        <w:t xml:space="preserve">Strategic Health Authorities to </w:t>
      </w:r>
      <w:r w:rsidR="00936BE5">
        <w:t>Sustainability Transformation Partnerships</w:t>
      </w:r>
      <w:r w:rsidR="00CC4DB8">
        <w:t xml:space="preserve"> </w:t>
      </w:r>
      <w:r w:rsidR="00936BE5">
        <w:t>–</w:t>
      </w:r>
      <w:r w:rsidR="00CC4DB8">
        <w:t xml:space="preserve">have been responsible for addressing health inequalities over the last 20 years. While the level of centralisation of these organisations has varied, there is opportunity to learn from good practice and build an evidence base to share learning. </w:t>
      </w:r>
    </w:p>
    <w:p w:rsidR="0024556E" w:rsidP="002E775F" w:rsidRDefault="0024556E" w14:paraId="3F5C1EED" w14:textId="77777777">
      <w:pPr>
        <w:autoSpaceDE w:val="0"/>
        <w:autoSpaceDN w:val="0"/>
        <w:adjustRightInd w:val="0"/>
        <w:spacing w:after="0"/>
      </w:pPr>
    </w:p>
    <w:p w:rsidRPr="00601221" w:rsidR="003D1C0C" w:rsidP="00CC4DB8" w:rsidRDefault="002E775F" w14:paraId="474BD9A0" w14:textId="4B2CD4A1">
      <w:pPr>
        <w:pStyle w:val="Heading2Num"/>
        <w:spacing w:before="0" w:after="200"/>
        <w:ind w:left="680"/>
      </w:pPr>
      <w:bookmarkStart w:name="_Toc139558223" w:id="20"/>
      <w:bookmarkStart w:name="_Toc139619029" w:id="21"/>
      <w:bookmarkStart w:name="_Toc139619147" w:id="22"/>
      <w:r>
        <w:t>P</w:t>
      </w:r>
      <w:r w:rsidRPr="00601221" w:rsidR="003D1C0C">
        <w:t>urpose of this research</w:t>
      </w:r>
      <w:bookmarkEnd w:id="20"/>
      <w:bookmarkEnd w:id="21"/>
      <w:bookmarkEnd w:id="22"/>
    </w:p>
    <w:p w:rsidR="003D1C0C" w:rsidP="00CC4DB8" w:rsidRDefault="00540684" w14:paraId="17910831" w14:textId="679F361B">
      <w:r>
        <w:t>T</w:t>
      </w:r>
      <w:r w:rsidR="00782402">
        <w:t>he Health and Social Care Act 2022</w:t>
      </w:r>
      <w:r w:rsidR="000B1E88">
        <w:rPr>
          <w:rStyle w:val="FootnoteReference"/>
        </w:rPr>
        <w:t>3</w:t>
      </w:r>
      <w:r w:rsidR="00782402">
        <w:t xml:space="preserve"> </w:t>
      </w:r>
      <w:r>
        <w:t>requires</w:t>
      </w:r>
      <w:r w:rsidR="00782402">
        <w:t xml:space="preserve"> CQC to conduct reviews of ICS</w:t>
      </w:r>
      <w:r w:rsidR="0054518F">
        <w:t>s</w:t>
      </w:r>
      <w:r w:rsidR="00782402">
        <w:t xml:space="preserve"> to assess the function of the system in the provision of health and social care</w:t>
      </w:r>
      <w:r w:rsidR="001F36FC">
        <w:t xml:space="preserve"> – this also includes </w:t>
      </w:r>
      <w:r w:rsidR="00DB6774">
        <w:t xml:space="preserve">how </w:t>
      </w:r>
      <w:r w:rsidR="001F36FC">
        <w:t xml:space="preserve">systems </w:t>
      </w:r>
      <w:r w:rsidR="00DB6774">
        <w:t xml:space="preserve">are </w:t>
      </w:r>
      <w:r w:rsidR="001F36FC">
        <w:t>addressing health inequalities within their local system</w:t>
      </w:r>
      <w:r w:rsidR="00782402">
        <w:t>.</w:t>
      </w:r>
    </w:p>
    <w:p w:rsidR="00825707" w:rsidP="00CC4DB8" w:rsidRDefault="00825707" w14:paraId="1FBBF6A6" w14:textId="6D34E3F8">
      <w:pPr>
        <w:jc w:val="both"/>
      </w:pPr>
      <w:r w:rsidRPr="1F715479">
        <w:rPr>
          <w:rFonts w:eastAsia="Arial"/>
        </w:rPr>
        <w:t>In 2021 CQC published a new strategy</w:t>
      </w:r>
      <w:r w:rsidR="00B21913">
        <w:rPr>
          <w:rFonts w:eastAsia="Arial"/>
        </w:rPr>
        <w:t xml:space="preserve"> </w:t>
      </w:r>
      <w:r w:rsidRPr="1F715479">
        <w:rPr>
          <w:rFonts w:eastAsia="Arial"/>
        </w:rPr>
        <w:t xml:space="preserve">for the changing world of health and </w:t>
      </w:r>
      <w:r w:rsidRPr="00700E3F">
        <w:rPr>
          <w:rFonts w:eastAsia="Arial"/>
        </w:rPr>
        <w:t>social care</w:t>
      </w:r>
      <w:r w:rsidRPr="00700E3F" w:rsidR="00700E3F">
        <w:rPr>
          <w:rFonts w:eastAsia="Arial"/>
        </w:rPr>
        <w:t>.</w:t>
      </w:r>
      <w:r w:rsidRPr="000F7A4D" w:rsidR="00700E3F">
        <w:rPr>
          <w:rFonts w:eastAsia="Arial"/>
          <w:vertAlign w:val="superscript"/>
        </w:rPr>
        <w:t>4</w:t>
      </w:r>
      <w:r w:rsidRPr="00700E3F">
        <w:rPr>
          <w:rFonts w:eastAsia="Arial"/>
        </w:rPr>
        <w:t xml:space="preserve"> The strategy aims to make </w:t>
      </w:r>
      <w:r w:rsidRPr="00700E3F" w:rsidR="00EC4B70">
        <w:rPr>
          <w:rFonts w:eastAsia="Arial"/>
        </w:rPr>
        <w:t xml:space="preserve">CQC’s </w:t>
      </w:r>
      <w:r w:rsidRPr="00700E3F">
        <w:rPr>
          <w:rFonts w:eastAsia="Arial"/>
        </w:rPr>
        <w:t>regulation more relevant to the way care is</w:t>
      </w:r>
      <w:r w:rsidRPr="1F715479">
        <w:rPr>
          <w:rFonts w:eastAsia="Arial"/>
        </w:rPr>
        <w:t xml:space="preserve"> now delivered, more flexible to manage risk and uncertainty, </w:t>
      </w:r>
      <w:r w:rsidR="00540684">
        <w:rPr>
          <w:rFonts w:eastAsia="Arial"/>
        </w:rPr>
        <w:t>to</w:t>
      </w:r>
      <w:r w:rsidRPr="1F715479">
        <w:rPr>
          <w:rFonts w:eastAsia="Arial"/>
        </w:rPr>
        <w:t xml:space="preserve"> enable CQC to respond in a quicker and more proportionate way as the health and care environment continues to evolve.</w:t>
      </w:r>
    </w:p>
    <w:p w:rsidR="00825707" w:rsidP="000917C4" w:rsidRDefault="00825707" w14:paraId="08F211C7" w14:textId="77777777">
      <w:pPr>
        <w:spacing w:after="120"/>
        <w:jc w:val="both"/>
      </w:pPr>
      <w:r w:rsidRPr="1F715479">
        <w:rPr>
          <w:rFonts w:eastAsia="Arial"/>
        </w:rPr>
        <w:t>CQC’s strategy was published under the themes:</w:t>
      </w:r>
    </w:p>
    <w:p w:rsidR="0076419C" w:rsidP="00AF10D4" w:rsidRDefault="0076419C" w14:paraId="5DB380E9" w14:textId="77777777">
      <w:pPr>
        <w:pStyle w:val="ListParagraph"/>
        <w:widowControl w:val="0"/>
        <w:numPr>
          <w:ilvl w:val="0"/>
          <w:numId w:val="8"/>
        </w:numPr>
        <w:overflowPunct w:val="0"/>
        <w:autoSpaceDE w:val="0"/>
        <w:autoSpaceDN w:val="0"/>
        <w:adjustRightInd w:val="0"/>
        <w:spacing w:line="240" w:lineRule="auto"/>
        <w:sectPr w:rsidR="0076419C" w:rsidSect="009479FA">
          <w:type w:val="continuous"/>
          <w:pgSz w:w="11906" w:h="16838" w:orient="portrait"/>
          <w:pgMar w:top="1985" w:right="1418" w:bottom="1134" w:left="851" w:header="624" w:footer="510" w:gutter="0"/>
          <w:cols w:space="708"/>
          <w:docGrid w:linePitch="360"/>
        </w:sectPr>
      </w:pPr>
    </w:p>
    <w:p w:rsidR="00825707" w:rsidP="00AF10D4" w:rsidRDefault="00825707" w14:paraId="36F6AA38" w14:textId="77777777">
      <w:pPr>
        <w:pStyle w:val="ListParagraph"/>
        <w:widowControl w:val="0"/>
        <w:numPr>
          <w:ilvl w:val="0"/>
          <w:numId w:val="8"/>
        </w:numPr>
        <w:overflowPunct w:val="0"/>
        <w:autoSpaceDE w:val="0"/>
        <w:autoSpaceDN w:val="0"/>
        <w:adjustRightInd w:val="0"/>
        <w:spacing w:line="240" w:lineRule="auto"/>
      </w:pPr>
      <w:r w:rsidRPr="1F715479">
        <w:t>People and communities</w:t>
      </w:r>
    </w:p>
    <w:p w:rsidR="00825707" w:rsidP="00AF10D4" w:rsidRDefault="00825707" w14:paraId="2FECFB17" w14:textId="77777777">
      <w:pPr>
        <w:pStyle w:val="ListParagraph"/>
        <w:widowControl w:val="0"/>
        <w:numPr>
          <w:ilvl w:val="0"/>
          <w:numId w:val="8"/>
        </w:numPr>
        <w:overflowPunct w:val="0"/>
        <w:autoSpaceDE w:val="0"/>
        <w:autoSpaceDN w:val="0"/>
        <w:adjustRightInd w:val="0"/>
        <w:spacing w:line="240" w:lineRule="auto"/>
      </w:pPr>
      <w:r w:rsidRPr="1F715479">
        <w:t>Smarter regulation</w:t>
      </w:r>
    </w:p>
    <w:p w:rsidR="00825707" w:rsidP="00AF10D4" w:rsidRDefault="00825707" w14:paraId="3169658B" w14:textId="77777777">
      <w:pPr>
        <w:pStyle w:val="ListParagraph"/>
        <w:widowControl w:val="0"/>
        <w:numPr>
          <w:ilvl w:val="0"/>
          <w:numId w:val="8"/>
        </w:numPr>
        <w:overflowPunct w:val="0"/>
        <w:autoSpaceDE w:val="0"/>
        <w:autoSpaceDN w:val="0"/>
        <w:adjustRightInd w:val="0"/>
        <w:spacing w:line="240" w:lineRule="auto"/>
      </w:pPr>
      <w:r w:rsidRPr="1F715479">
        <w:t>Safety through learning</w:t>
      </w:r>
    </w:p>
    <w:p w:rsidR="00825707" w:rsidP="00AF10D4" w:rsidRDefault="00825707" w14:paraId="686AA6BA" w14:textId="44FE883B">
      <w:pPr>
        <w:pStyle w:val="ListParagraph"/>
        <w:widowControl w:val="0"/>
        <w:numPr>
          <w:ilvl w:val="0"/>
          <w:numId w:val="8"/>
        </w:numPr>
        <w:overflowPunct w:val="0"/>
        <w:autoSpaceDE w:val="0"/>
        <w:autoSpaceDN w:val="0"/>
        <w:adjustRightInd w:val="0"/>
        <w:spacing w:line="240" w:lineRule="auto"/>
      </w:pPr>
      <w:r w:rsidRPr="1F715479">
        <w:t>Accelerating improvement</w:t>
      </w:r>
    </w:p>
    <w:p w:rsidR="0076419C" w:rsidP="009F7B81" w:rsidRDefault="0076419C" w14:paraId="4A65592A" w14:textId="77777777">
      <w:pPr>
        <w:rPr>
          <w:rFonts w:eastAsia="Arial"/>
        </w:rPr>
        <w:sectPr w:rsidR="0076419C" w:rsidSect="000F7A4D">
          <w:type w:val="continuous"/>
          <w:pgSz w:w="11906" w:h="16838" w:orient="portrait"/>
          <w:pgMar w:top="1985" w:right="1418" w:bottom="1134" w:left="851" w:header="624" w:footer="510" w:gutter="0"/>
          <w:cols w:space="708" w:num="2"/>
          <w:docGrid w:linePitch="360"/>
        </w:sectPr>
      </w:pPr>
    </w:p>
    <w:p w:rsidRPr="00310E31" w:rsidR="003D1C0C" w:rsidP="009F7B81" w:rsidRDefault="00F129DE" w14:paraId="059C5EA0" w14:textId="7C279661">
      <w:r>
        <w:rPr>
          <w:rFonts w:eastAsia="Arial"/>
        </w:rPr>
        <w:t>The aim of this research is to provide CQC with an evidence base on what works within local areas in terms of addressing health inequalities. Th</w:t>
      </w:r>
      <w:r w:rsidR="000917C4">
        <w:rPr>
          <w:rFonts w:eastAsia="Arial"/>
        </w:rPr>
        <w:t>e</w:t>
      </w:r>
      <w:r>
        <w:rPr>
          <w:rFonts w:eastAsia="Arial"/>
        </w:rPr>
        <w:t xml:space="preserve"> search protocol for this literature was designed to be framework / government policy agnostic – to broaden the literature available for extraction. </w:t>
      </w:r>
      <w:r w:rsidR="001F36FC">
        <w:rPr>
          <w:rFonts w:eastAsia="Arial"/>
        </w:rPr>
        <w:t>T</w:t>
      </w:r>
      <w:r w:rsidRPr="1F715479" w:rsidR="00825707">
        <w:rPr>
          <w:rFonts w:eastAsia="Arial"/>
        </w:rPr>
        <w:t>hrough</w:t>
      </w:r>
      <w:r w:rsidR="001F36FC">
        <w:rPr>
          <w:rFonts w:eastAsia="Arial"/>
        </w:rPr>
        <w:t>out</w:t>
      </w:r>
      <w:r w:rsidRPr="1F715479" w:rsidR="00825707">
        <w:rPr>
          <w:rFonts w:eastAsia="Arial"/>
        </w:rPr>
        <w:t xml:space="preserve"> each theme</w:t>
      </w:r>
      <w:r w:rsidR="001F36FC">
        <w:rPr>
          <w:rFonts w:eastAsia="Arial"/>
        </w:rPr>
        <w:t>,</w:t>
      </w:r>
      <w:r w:rsidRPr="1F715479" w:rsidR="00825707">
        <w:rPr>
          <w:rFonts w:eastAsia="Arial"/>
        </w:rPr>
        <w:t xml:space="preserve"> </w:t>
      </w:r>
      <w:r w:rsidR="001F36FC">
        <w:rPr>
          <w:rFonts w:eastAsia="Arial"/>
        </w:rPr>
        <w:t xml:space="preserve">there is the </w:t>
      </w:r>
      <w:r w:rsidRPr="1F715479" w:rsidR="00825707">
        <w:rPr>
          <w:rFonts w:eastAsia="Arial"/>
        </w:rPr>
        <w:t>ambition to assess local systems and tackle inequalities in health and care.</w:t>
      </w:r>
      <w:r w:rsidR="001F36FC">
        <w:rPr>
          <w:rFonts w:eastAsia="Arial"/>
        </w:rPr>
        <w:t xml:space="preserve"> This research has been conducted in order to strengthen </w:t>
      </w:r>
      <w:r w:rsidR="00540684">
        <w:rPr>
          <w:rFonts w:eastAsia="Arial"/>
        </w:rPr>
        <w:t>CQC</w:t>
      </w:r>
      <w:r w:rsidR="0032177B">
        <w:rPr>
          <w:rFonts w:eastAsia="Arial"/>
        </w:rPr>
        <w:t>’</w:t>
      </w:r>
      <w:r w:rsidR="00540684">
        <w:rPr>
          <w:rFonts w:eastAsia="Arial"/>
        </w:rPr>
        <w:t xml:space="preserve">s </w:t>
      </w:r>
      <w:r w:rsidR="001F36FC">
        <w:rPr>
          <w:rFonts w:eastAsia="Arial"/>
        </w:rPr>
        <w:t>understanding and have a robust evidence base to support delivery on these strategic aims.</w:t>
      </w:r>
      <w:r w:rsidR="00310E31">
        <w:t xml:space="preserve"> </w:t>
      </w:r>
      <w:r w:rsidRPr="00011554" w:rsidR="00782402">
        <w:rPr>
          <w:rFonts w:eastAsia="Times New Roman" w:cs="Arial"/>
          <w:kern w:val="28"/>
          <w:szCs w:val="20"/>
        </w:rPr>
        <w:t xml:space="preserve">This </w:t>
      </w:r>
      <w:r w:rsidR="00782402">
        <w:rPr>
          <w:rFonts w:eastAsia="Times New Roman" w:cs="Arial"/>
          <w:kern w:val="28"/>
          <w:szCs w:val="20"/>
        </w:rPr>
        <w:t xml:space="preserve">evidence base will </w:t>
      </w:r>
      <w:r w:rsidR="00310E31">
        <w:rPr>
          <w:rFonts w:eastAsia="Times New Roman" w:cs="Arial"/>
          <w:kern w:val="28"/>
          <w:szCs w:val="20"/>
        </w:rPr>
        <w:t xml:space="preserve">also </w:t>
      </w:r>
      <w:r w:rsidR="00782402">
        <w:rPr>
          <w:rFonts w:eastAsia="Times New Roman" w:cs="Arial"/>
          <w:kern w:val="28"/>
          <w:szCs w:val="20"/>
        </w:rPr>
        <w:t xml:space="preserve">be </w:t>
      </w:r>
      <w:r w:rsidRPr="00011554" w:rsidR="00782402">
        <w:rPr>
          <w:rFonts w:eastAsia="Times New Roman" w:cs="Arial"/>
          <w:kern w:val="28"/>
          <w:szCs w:val="20"/>
        </w:rPr>
        <w:t xml:space="preserve">used by CQC to support the delivery of its strategy, and </w:t>
      </w:r>
      <w:r w:rsidR="00CA58E2">
        <w:rPr>
          <w:rFonts w:eastAsia="Times New Roman" w:cs="Arial"/>
          <w:kern w:val="28"/>
          <w:szCs w:val="20"/>
        </w:rPr>
        <w:t xml:space="preserve">to </w:t>
      </w:r>
      <w:r w:rsidRPr="00011554" w:rsidR="00782402">
        <w:rPr>
          <w:rFonts w:eastAsia="Times New Roman" w:cs="Arial"/>
          <w:kern w:val="28"/>
          <w:szCs w:val="20"/>
        </w:rPr>
        <w:t>inform the way the organisation assesses</w:t>
      </w:r>
      <w:r w:rsidR="00782402">
        <w:rPr>
          <w:rFonts w:eastAsia="Times New Roman" w:cs="Arial"/>
          <w:kern w:val="28"/>
          <w:szCs w:val="20"/>
        </w:rPr>
        <w:t xml:space="preserve"> ICSs</w:t>
      </w:r>
      <w:r w:rsidRPr="00011554" w:rsidR="00782402">
        <w:rPr>
          <w:rFonts w:eastAsia="Times New Roman" w:cs="Arial"/>
          <w:kern w:val="28"/>
          <w:szCs w:val="20"/>
        </w:rPr>
        <w:t xml:space="preserve"> and</w:t>
      </w:r>
      <w:r w:rsidR="00782402">
        <w:rPr>
          <w:rFonts w:eastAsia="Times New Roman" w:cs="Arial"/>
          <w:kern w:val="28"/>
          <w:szCs w:val="20"/>
        </w:rPr>
        <w:t xml:space="preserve"> consider</w:t>
      </w:r>
      <w:r w:rsidR="001C74E8">
        <w:rPr>
          <w:rFonts w:eastAsia="Times New Roman" w:cs="Arial"/>
          <w:kern w:val="28"/>
          <w:szCs w:val="20"/>
        </w:rPr>
        <w:t>s</w:t>
      </w:r>
      <w:r w:rsidR="00782402">
        <w:rPr>
          <w:rFonts w:eastAsia="Times New Roman" w:cs="Arial"/>
          <w:kern w:val="28"/>
          <w:szCs w:val="20"/>
        </w:rPr>
        <w:t xml:space="preserve"> how local systems can reduce health inequalities. </w:t>
      </w:r>
    </w:p>
    <w:p w:rsidR="003D1C0C" w:rsidP="00CC4DB8" w:rsidRDefault="003D1C0C" w14:paraId="6920F368" w14:textId="77777777">
      <w:pPr>
        <w:pStyle w:val="Heading2Num"/>
        <w:spacing w:before="0" w:after="200"/>
        <w:ind w:left="680"/>
      </w:pPr>
      <w:bookmarkStart w:name="_Toc139558224" w:id="23"/>
      <w:bookmarkStart w:name="_Toc139619030" w:id="24"/>
      <w:bookmarkStart w:name="_Toc139619148" w:id="25"/>
      <w:r>
        <w:t>Research questions to be explored</w:t>
      </w:r>
      <w:bookmarkEnd w:id="23"/>
      <w:bookmarkEnd w:id="24"/>
      <w:bookmarkEnd w:id="25"/>
    </w:p>
    <w:p w:rsidR="00825707" w:rsidP="000917C4" w:rsidRDefault="00782402" w14:paraId="1D5D6B3B" w14:textId="4046B56D">
      <w:pPr>
        <w:spacing w:after="120" w:line="22" w:lineRule="atLeast"/>
      </w:pPr>
      <w:r w:rsidRPr="00782402">
        <w:rPr>
          <w:rFonts w:eastAsia="Calibri" w:cs="Times New Roman"/>
        </w:rPr>
        <w:t>The review determine</w:t>
      </w:r>
      <w:r w:rsidR="00540684">
        <w:rPr>
          <w:rFonts w:eastAsia="Calibri" w:cs="Times New Roman"/>
        </w:rPr>
        <w:t>d</w:t>
      </w:r>
      <w:r w:rsidRPr="00782402">
        <w:rPr>
          <w:rFonts w:eastAsia="Calibri" w:cs="Times New Roman"/>
        </w:rPr>
        <w:t xml:space="preserve"> and comment</w:t>
      </w:r>
      <w:r w:rsidR="00540684">
        <w:rPr>
          <w:rFonts w:eastAsia="Calibri" w:cs="Times New Roman"/>
        </w:rPr>
        <w:t>ed</w:t>
      </w:r>
      <w:r w:rsidRPr="00782402">
        <w:rPr>
          <w:rFonts w:eastAsia="Calibri" w:cs="Times New Roman"/>
        </w:rPr>
        <w:t xml:space="preserve"> of the breadth and volume of existing research (including research gaps). </w:t>
      </w:r>
      <w:r w:rsidRPr="00782402" w:rsidR="00825707">
        <w:t xml:space="preserve">The primary research questions were set by CQC at the outset of the project and covered </w:t>
      </w:r>
      <w:r w:rsidR="009F7B81">
        <w:t>three</w:t>
      </w:r>
      <w:r w:rsidRPr="00782402" w:rsidR="00825707">
        <w:t xml:space="preserve"> key areas related </w:t>
      </w:r>
      <w:r w:rsidR="00825707">
        <w:t>to health inequalities. These included:</w:t>
      </w:r>
      <w:r w:rsidRPr="00825707" w:rsidR="00825707">
        <w:t xml:space="preserve"> </w:t>
      </w:r>
    </w:p>
    <w:p w:rsidR="00825707" w:rsidP="00AF10D4" w:rsidRDefault="00825707" w14:paraId="366E9083" w14:textId="257C3B5F">
      <w:pPr>
        <w:pStyle w:val="ListParagraph"/>
        <w:numPr>
          <w:ilvl w:val="0"/>
          <w:numId w:val="9"/>
        </w:numPr>
      </w:pPr>
      <w:r w:rsidRPr="00825707">
        <w:rPr>
          <w:b/>
          <w:bCs/>
        </w:rPr>
        <w:t xml:space="preserve">Theme 1: </w:t>
      </w:r>
      <w:r>
        <w:t>What are effective ways of identifying local health inequalities or potential health inequalities?</w:t>
      </w:r>
    </w:p>
    <w:p w:rsidR="00825707" w:rsidP="00AF10D4" w:rsidRDefault="00825707" w14:paraId="4AAAD1CC" w14:textId="39C61789">
      <w:pPr>
        <w:pStyle w:val="ListParagraph"/>
        <w:numPr>
          <w:ilvl w:val="0"/>
          <w:numId w:val="9"/>
        </w:numPr>
      </w:pPr>
      <w:r w:rsidRPr="00825707">
        <w:rPr>
          <w:b/>
          <w:bCs/>
        </w:rPr>
        <w:t xml:space="preserve">Theme 2: </w:t>
      </w:r>
      <w:r>
        <w:t xml:space="preserve">What are the evidence-based </w:t>
      </w:r>
      <w:r w:rsidR="00FE018E">
        <w:t>method</w:t>
      </w:r>
      <w:r>
        <w:t xml:space="preserve">s/approaches that work </w:t>
      </w:r>
      <w:r w:rsidR="00782402">
        <w:t>to address health inequalities with</w:t>
      </w:r>
      <w:r>
        <w:t xml:space="preserve">in a local area? </w:t>
      </w:r>
    </w:p>
    <w:p w:rsidR="00825707" w:rsidP="00AF10D4" w:rsidRDefault="00782402" w14:paraId="1A16645B" w14:textId="4B847505">
      <w:pPr>
        <w:pStyle w:val="ListParagraph"/>
        <w:numPr>
          <w:ilvl w:val="0"/>
          <w:numId w:val="9"/>
        </w:numPr>
      </w:pPr>
      <w:r w:rsidRPr="00782402">
        <w:rPr>
          <w:b/>
          <w:bCs/>
        </w:rPr>
        <w:t xml:space="preserve">Theme </w:t>
      </w:r>
      <w:r w:rsidR="00267017">
        <w:rPr>
          <w:b/>
          <w:bCs/>
        </w:rPr>
        <w:t>3</w:t>
      </w:r>
      <w:r w:rsidRPr="00782402">
        <w:rPr>
          <w:b/>
          <w:bCs/>
        </w:rPr>
        <w:t xml:space="preserve">: </w:t>
      </w:r>
      <w:r w:rsidRPr="00782402" w:rsidR="00825707">
        <w:t>What</w:t>
      </w:r>
      <w:r w:rsidR="00825707">
        <w:t xml:space="preserve"> does successful engagement with local people and communities look like?</w:t>
      </w:r>
    </w:p>
    <w:p w:rsidRPr="0076106B" w:rsidR="0076106B" w:rsidP="00CC4DB8" w:rsidRDefault="00782402" w14:paraId="19AB27DA" w14:textId="687E2CBC">
      <w:pPr>
        <w:widowControl w:val="0"/>
        <w:overflowPunct w:val="0"/>
        <w:autoSpaceDE w:val="0"/>
        <w:autoSpaceDN w:val="0"/>
        <w:adjustRightInd w:val="0"/>
        <w:spacing w:line="240" w:lineRule="auto"/>
        <w:rPr>
          <w:rFonts w:eastAsia="Times New Roman" w:cs="Arial"/>
          <w:kern w:val="28"/>
          <w:szCs w:val="20"/>
        </w:rPr>
        <w:sectPr w:rsidRPr="0076106B" w:rsidR="0076106B" w:rsidSect="009479FA">
          <w:type w:val="continuous"/>
          <w:pgSz w:w="11906" w:h="16838" w:orient="portrait"/>
          <w:pgMar w:top="1985" w:right="1418" w:bottom="1134" w:left="851" w:header="624" w:footer="510" w:gutter="0"/>
          <w:cols w:space="708"/>
          <w:docGrid w:linePitch="360"/>
        </w:sectPr>
      </w:pPr>
      <w:r w:rsidRPr="00936BE5">
        <w:t>These were supported by further sub-questions across each theme, each of which is outlined in Annex A.</w:t>
      </w:r>
      <w:r w:rsidRPr="00782402">
        <w:rPr>
          <w:rFonts w:eastAsia="Times New Roman" w:cs="Arial"/>
          <w:kern w:val="28"/>
          <w:szCs w:val="20"/>
        </w:rPr>
        <w:t xml:space="preserve"> </w:t>
      </w:r>
    </w:p>
    <w:p w:rsidRPr="00C921E5" w:rsidR="00EE26DE" w:rsidP="0076419C" w:rsidRDefault="00EE26DE" w14:paraId="00455E71" w14:textId="25ADE7F7">
      <w:pPr>
        <w:pStyle w:val="Heading1Num"/>
      </w:pPr>
      <w:bookmarkStart w:name="_Toc129861343" w:id="26"/>
      <w:bookmarkStart w:name="_Toc129865417" w:id="27"/>
      <w:bookmarkStart w:name="_Toc129865465" w:id="28"/>
      <w:bookmarkStart w:name="_Toc129953095" w:id="29"/>
      <w:bookmarkStart w:name="_Toc129953126" w:id="30"/>
      <w:bookmarkStart w:name="_Toc129953171" w:id="31"/>
      <w:bookmarkStart w:name="_Toc129953543" w:id="32"/>
      <w:bookmarkStart w:name="_Toc146539768" w:id="33"/>
      <w:r w:rsidRPr="000636F5">
        <w:t>Method</w:t>
      </w:r>
      <w:bookmarkEnd w:id="26"/>
      <w:bookmarkEnd w:id="27"/>
      <w:bookmarkEnd w:id="28"/>
      <w:bookmarkEnd w:id="29"/>
      <w:bookmarkEnd w:id="30"/>
      <w:bookmarkEnd w:id="31"/>
      <w:bookmarkEnd w:id="32"/>
      <w:bookmarkEnd w:id="33"/>
    </w:p>
    <w:p w:rsidRPr="00211F88" w:rsidR="00211F88" w:rsidP="00AF10D4" w:rsidRDefault="00211F88" w14:paraId="1CF6DECE" w14:textId="77777777">
      <w:pPr>
        <w:keepNext/>
        <w:keepLines/>
        <w:numPr>
          <w:ilvl w:val="1"/>
          <w:numId w:val="7"/>
        </w:numPr>
        <w:spacing w:before="240" w:after="120" w:line="320" w:lineRule="atLeast"/>
        <w:ind w:left="680"/>
        <w:outlineLvl w:val="1"/>
        <w:rPr>
          <w:rFonts w:ascii="Arial Bold" w:hAnsi="Arial Bold" w:eastAsiaTheme="majorEastAsia" w:cstheme="majorBidi"/>
          <w:b/>
          <w:bCs/>
          <w:sz w:val="28"/>
          <w:szCs w:val="26"/>
        </w:rPr>
      </w:pPr>
      <w:bookmarkStart w:name="_Toc129957311" w:id="34"/>
      <w:bookmarkStart w:name="_Toc129957312" w:id="35"/>
      <w:bookmarkStart w:name="_Toc131159228" w:id="36"/>
      <w:bookmarkStart w:name="_Toc131159897" w:id="37"/>
      <w:bookmarkStart w:name="_Toc129865418" w:id="38"/>
      <w:bookmarkStart w:name="_Toc129865466" w:id="39"/>
      <w:bookmarkStart w:name="_Toc129953096" w:id="40"/>
      <w:bookmarkStart w:name="_Toc129953127" w:id="41"/>
      <w:bookmarkStart w:name="_Toc129953172" w:id="42"/>
      <w:bookmarkStart w:name="_Toc129953544" w:id="43"/>
      <w:bookmarkStart w:name="_Toc131160262" w:id="44"/>
      <w:bookmarkStart w:name="_Toc139558226" w:id="45"/>
      <w:bookmarkStart w:name="_Toc139619150" w:id="46"/>
      <w:bookmarkEnd w:id="34"/>
      <w:bookmarkEnd w:id="35"/>
      <w:bookmarkEnd w:id="36"/>
      <w:bookmarkEnd w:id="37"/>
      <w:r w:rsidRPr="00211F88">
        <w:rPr>
          <w:rFonts w:ascii="Arial Bold" w:hAnsi="Arial Bold" w:eastAsiaTheme="majorEastAsia" w:cstheme="majorBidi"/>
          <w:b/>
          <w:bCs/>
          <w:sz w:val="28"/>
          <w:szCs w:val="26"/>
        </w:rPr>
        <w:t>Approach to the literature review</w:t>
      </w:r>
      <w:bookmarkEnd w:id="38"/>
      <w:bookmarkEnd w:id="39"/>
      <w:bookmarkEnd w:id="40"/>
      <w:bookmarkEnd w:id="41"/>
      <w:bookmarkEnd w:id="42"/>
      <w:bookmarkEnd w:id="43"/>
      <w:bookmarkEnd w:id="44"/>
      <w:bookmarkEnd w:id="45"/>
      <w:bookmarkEnd w:id="46"/>
    </w:p>
    <w:p w:rsidRPr="00211F88" w:rsidR="00211F88" w:rsidP="00211F88" w:rsidRDefault="00211F88" w14:paraId="45CE4B7E" w14:textId="77777777">
      <w:pPr>
        <w:keepNext/>
        <w:keepLines/>
        <w:spacing w:before="240" w:after="120" w:line="280" w:lineRule="atLeast"/>
        <w:outlineLvl w:val="2"/>
        <w:rPr>
          <w:rFonts w:ascii="Arial Bold" w:hAnsi="Arial Bold" w:eastAsiaTheme="majorEastAsia" w:cstheme="majorBidi"/>
          <w:b/>
          <w:bCs/>
        </w:rPr>
      </w:pPr>
      <w:bookmarkStart w:name="_Toc129865419" w:id="47"/>
      <w:bookmarkStart w:name="_Toc129865467" w:id="48"/>
      <w:bookmarkStart w:name="_Toc129953173" w:id="49"/>
      <w:bookmarkStart w:name="_Toc129953545" w:id="50"/>
      <w:bookmarkStart w:name="_Toc139619151" w:id="51"/>
      <w:r w:rsidRPr="00211F88">
        <w:rPr>
          <w:rFonts w:ascii="Arial Bold" w:hAnsi="Arial Bold" w:eastAsiaTheme="majorEastAsia" w:cstheme="majorBidi"/>
          <w:b/>
          <w:bCs/>
        </w:rPr>
        <w:t>Project initiation and governance</w:t>
      </w:r>
      <w:bookmarkEnd w:id="47"/>
      <w:bookmarkEnd w:id="48"/>
      <w:bookmarkEnd w:id="49"/>
      <w:bookmarkEnd w:id="50"/>
      <w:bookmarkEnd w:id="51"/>
    </w:p>
    <w:p w:rsidRPr="00211F88" w:rsidR="00211F88" w:rsidP="00211F88" w:rsidRDefault="00211F88" w14:paraId="163305A1" w14:textId="484330C4">
      <w:r w:rsidRPr="00211F88">
        <w:t>At the outset, a project initiation meeting was undertaken with key members of the RSM research team and representatives from CQC’s research team</w:t>
      </w:r>
      <w:r w:rsidR="004F49C2">
        <w:t>, which included</w:t>
      </w:r>
      <w:r w:rsidRPr="004F49C2" w:rsidR="004F49C2">
        <w:t xml:space="preserve"> staff responsible for developing CQC work on tackling inequalities and ICS assessments</w:t>
      </w:r>
      <w:r w:rsidRPr="00211F88">
        <w:t>. Key research questions and methods were agreed upon. An expert panel was set up to allow opportunities to test back findings with those working with</w:t>
      </w:r>
      <w:r>
        <w:t xml:space="preserve"> </w:t>
      </w:r>
      <w:r w:rsidR="00367BA4">
        <w:t xml:space="preserve">health </w:t>
      </w:r>
      <w:r>
        <w:t>inequalities</w:t>
      </w:r>
      <w:r w:rsidRPr="00211F88">
        <w:t xml:space="preserve">, those with expert knowledge of </w:t>
      </w:r>
      <w:r w:rsidR="00367BA4">
        <w:t xml:space="preserve">health </w:t>
      </w:r>
      <w:r>
        <w:t xml:space="preserve">inequalities </w:t>
      </w:r>
      <w:r w:rsidRPr="00211F88">
        <w:t xml:space="preserve">and those </w:t>
      </w:r>
      <w:r w:rsidR="00367BA4">
        <w:t>from local health and care systems</w:t>
      </w:r>
      <w:r w:rsidRPr="00211F88">
        <w:t>. The insights of the expert panel were used across two workshops: one to test back the methodological approach and another to test back findings and implications for CQC.</w:t>
      </w:r>
    </w:p>
    <w:p w:rsidRPr="00211F88" w:rsidR="00211F88" w:rsidP="00211F88" w:rsidRDefault="00211F88" w14:paraId="3E6BB7B2" w14:textId="77777777">
      <w:pPr>
        <w:keepNext/>
        <w:keepLines/>
        <w:spacing w:before="240" w:after="120" w:line="280" w:lineRule="atLeast"/>
        <w:outlineLvl w:val="2"/>
        <w:rPr>
          <w:rFonts w:ascii="Arial Bold" w:hAnsi="Arial Bold" w:eastAsiaTheme="majorEastAsia" w:cstheme="majorBidi"/>
          <w:b/>
          <w:bCs/>
        </w:rPr>
      </w:pPr>
      <w:bookmarkStart w:name="_Toc129865420" w:id="52"/>
      <w:bookmarkStart w:name="_Toc129865468" w:id="53"/>
      <w:bookmarkStart w:name="_Toc129953174" w:id="54"/>
      <w:bookmarkStart w:name="_Toc129953546" w:id="55"/>
      <w:bookmarkStart w:name="_Toc139619152" w:id="56"/>
      <w:r w:rsidRPr="00211F88">
        <w:rPr>
          <w:rFonts w:ascii="Arial Bold" w:hAnsi="Arial Bold" w:eastAsiaTheme="majorEastAsia" w:cstheme="majorBidi"/>
          <w:b/>
          <w:bCs/>
        </w:rPr>
        <w:t>Development of the search protocol</w:t>
      </w:r>
      <w:bookmarkEnd w:id="52"/>
      <w:bookmarkEnd w:id="53"/>
      <w:bookmarkEnd w:id="54"/>
      <w:bookmarkEnd w:id="55"/>
      <w:bookmarkEnd w:id="56"/>
    </w:p>
    <w:p w:rsidRPr="00211F88" w:rsidR="00211F88" w:rsidP="00211F88" w:rsidRDefault="00211F88" w14:paraId="45730912" w14:textId="54B2B913">
      <w:pPr>
        <w:rPr>
          <w:szCs w:val="20"/>
        </w:rPr>
      </w:pPr>
      <w:bookmarkStart w:name="_Hlk129684306" w:id="57"/>
      <w:r w:rsidRPr="00211F88">
        <w:t>Relevant literature was reviewed from two types of sources: published studies in scientific journals and grey literature from government and other public agency sources</w:t>
      </w:r>
      <w:bookmarkEnd w:id="57"/>
      <w:r w:rsidRPr="00211F88">
        <w:t xml:space="preserve">. The search for peer-reviewed, academic literature was conducted via the University of Birmingham Library Services based on agreed search terms which can be found in Annex B. To structure our search strategy and optimise the time available, the </w:t>
      </w:r>
      <w:r w:rsidR="005C1F36">
        <w:t>Peer Review of Electronic Search Strategies (</w:t>
      </w:r>
      <w:r w:rsidRPr="00211F88">
        <w:t>PRESS</w:t>
      </w:r>
      <w:r w:rsidR="005C1F36">
        <w:t>)</w:t>
      </w:r>
      <w:r w:rsidRPr="00211F88">
        <w:t xml:space="preserve"> checklist was used</w:t>
      </w:r>
      <w:r w:rsidRPr="004A3C1C">
        <w:t>.</w:t>
      </w:r>
      <w:r w:rsidR="001C004E">
        <w:rPr>
          <w:vertAlign w:val="superscript"/>
        </w:rPr>
        <w:t>5</w:t>
      </w:r>
    </w:p>
    <w:p w:rsidRPr="00211F88" w:rsidR="00211F88" w:rsidP="00211F88" w:rsidRDefault="00211F88" w14:paraId="692FD679" w14:textId="77777777">
      <w:pPr>
        <w:keepNext/>
        <w:keepLines/>
        <w:spacing w:before="240" w:after="120" w:line="280" w:lineRule="atLeast"/>
        <w:outlineLvl w:val="2"/>
        <w:rPr>
          <w:rFonts w:ascii="Arial Bold" w:hAnsi="Arial Bold" w:eastAsia="Times New Roman" w:cstheme="majorBidi"/>
          <w:b/>
          <w:bCs/>
        </w:rPr>
      </w:pPr>
      <w:bookmarkStart w:name="_Toc129865421" w:id="58"/>
      <w:bookmarkStart w:name="_Toc129865469" w:id="59"/>
      <w:bookmarkStart w:name="_Toc129953175" w:id="60"/>
      <w:bookmarkStart w:name="_Toc129953547" w:id="61"/>
      <w:bookmarkStart w:name="_Toc139619153" w:id="62"/>
      <w:r w:rsidRPr="00211F88">
        <w:rPr>
          <w:rFonts w:ascii="Arial Bold" w:hAnsi="Arial Bold" w:eastAsia="Times New Roman" w:cstheme="majorBidi"/>
          <w:b/>
          <w:bCs/>
        </w:rPr>
        <w:t>Screening of titles and abstracts</w:t>
      </w:r>
      <w:bookmarkEnd w:id="58"/>
      <w:bookmarkEnd w:id="59"/>
      <w:bookmarkEnd w:id="60"/>
      <w:bookmarkEnd w:id="61"/>
      <w:bookmarkEnd w:id="62"/>
    </w:p>
    <w:p w:rsidRPr="00211F88" w:rsidR="00211F88" w:rsidP="00211F88" w:rsidRDefault="00211F88" w14:paraId="6B43BF1D" w14:textId="677300FD">
      <w:r w:rsidRPr="00211F88">
        <w:t xml:space="preserve">Altogether, the searches produced a longlist of </w:t>
      </w:r>
      <w:r w:rsidR="00310E31">
        <w:t>1,415</w:t>
      </w:r>
      <w:r w:rsidRPr="00211F88">
        <w:t xml:space="preserve"> titles which were rigorously screened as detailed in Figure 1. This resulted in a shortlist of </w:t>
      </w:r>
      <w:r w:rsidR="00310E31">
        <w:t>64</w:t>
      </w:r>
      <w:r w:rsidRPr="00211F88">
        <w:t xml:space="preserve"> articles. At each stage, two reviewers were involved in screening and any discrepancies were resolved through discussion and consensus development.</w:t>
      </w:r>
      <w:r w:rsidR="00310E31">
        <w:t xml:space="preserve"> A third reviewer also screened 10% of reports at each stage to ensure consistency.</w:t>
      </w:r>
    </w:p>
    <w:p w:rsidRPr="00211F88" w:rsidR="00211F88" w:rsidP="00211F88" w:rsidRDefault="00211F88" w14:paraId="2107AF9A" w14:textId="77777777">
      <w:pPr>
        <w:keepNext/>
        <w:spacing w:line="240" w:lineRule="auto"/>
        <w:rPr>
          <w:b/>
          <w:iCs/>
          <w:szCs w:val="18"/>
        </w:rPr>
      </w:pPr>
      <w:bookmarkStart w:name="_Hlk129684508" w:id="63"/>
      <w:r w:rsidRPr="00211F88">
        <w:rPr>
          <w:b/>
          <w:iCs/>
          <w:szCs w:val="18"/>
        </w:rPr>
        <w:t xml:space="preserve">Figure </w:t>
      </w:r>
      <w:r w:rsidRPr="00211F88">
        <w:rPr>
          <w:b/>
          <w:iCs/>
          <w:szCs w:val="18"/>
        </w:rPr>
        <w:fldChar w:fldCharType="begin"/>
      </w:r>
      <w:r w:rsidRPr="00211F88">
        <w:rPr>
          <w:b/>
          <w:iCs/>
          <w:szCs w:val="18"/>
        </w:rPr>
        <w:instrText xml:space="preserve"> SEQ Figure \* ARABIC </w:instrText>
      </w:r>
      <w:r w:rsidRPr="00211F88">
        <w:rPr>
          <w:b/>
          <w:iCs/>
          <w:szCs w:val="18"/>
        </w:rPr>
        <w:fldChar w:fldCharType="separate"/>
      </w:r>
      <w:r w:rsidRPr="00211F88">
        <w:rPr>
          <w:b/>
          <w:iCs/>
          <w:noProof/>
          <w:szCs w:val="18"/>
        </w:rPr>
        <w:t>1</w:t>
      </w:r>
      <w:r w:rsidRPr="00211F88">
        <w:rPr>
          <w:b/>
          <w:iCs/>
          <w:noProof/>
          <w:szCs w:val="18"/>
        </w:rPr>
        <w:fldChar w:fldCharType="end"/>
      </w:r>
      <w:r w:rsidRPr="00211F88">
        <w:rPr>
          <w:b/>
          <w:iCs/>
          <w:szCs w:val="18"/>
        </w:rPr>
        <w:t xml:space="preserve"> PRISMA style reporting of records at each stage of screening</w:t>
      </w:r>
    </w:p>
    <w:p w:rsidRPr="00211F88" w:rsidR="00211F88" w:rsidP="00211F88" w:rsidRDefault="00267017" w14:paraId="3EE8685C" w14:textId="37197D57">
      <w:pPr>
        <w:keepNext/>
      </w:pPr>
      <w:r>
        <w:rPr>
          <w:noProof/>
        </w:rPr>
        <w:drawing>
          <wp:inline distT="0" distB="0" distL="0" distR="0" wp14:anchorId="7AE04D2E" wp14:editId="406FCAF9">
            <wp:extent cx="5575300" cy="4383917"/>
            <wp:effectExtent l="0" t="0" r="6350" b="0"/>
            <wp:docPr id="1" name="Picture 1" descr="A diagram which detailed the literature screening process, from a long-list of reports (N=1,178) through to the full texts for qualitative synthesis (N=64).">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which detailed the literature screening process, from a long-list of reports (N=1,178) through to the full texts for qualitative synthesis (N=64).">
                      <a:extLst>
                        <a:ext uri="{C183D7F6-B498-43B3-948B-1728B52AA6E4}">
                          <adec:decorative xmlns:adec="http://schemas.microsoft.com/office/drawing/2017/decorative" val="0"/>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86128" cy="4392431"/>
                    </a:xfrm>
                    <a:prstGeom prst="rect">
                      <a:avLst/>
                    </a:prstGeom>
                    <a:noFill/>
                  </pic:spPr>
                </pic:pic>
              </a:graphicData>
            </a:graphic>
          </wp:inline>
        </w:drawing>
      </w:r>
    </w:p>
    <w:p w:rsidRPr="00211F88" w:rsidR="00211F88" w:rsidP="00211F88" w:rsidRDefault="00211F88" w14:paraId="76C23755" w14:textId="77777777">
      <w:pPr>
        <w:keepNext/>
        <w:keepLines/>
        <w:spacing w:before="240" w:after="120" w:line="280" w:lineRule="atLeast"/>
        <w:outlineLvl w:val="2"/>
        <w:rPr>
          <w:rFonts w:ascii="Arial Bold" w:hAnsi="Arial Bold" w:eastAsia="Times New Roman" w:cstheme="majorBidi"/>
          <w:b/>
          <w:bCs/>
        </w:rPr>
      </w:pPr>
      <w:bookmarkStart w:name="_Toc129865422" w:id="64"/>
      <w:bookmarkStart w:name="_Toc129865470" w:id="65"/>
      <w:bookmarkStart w:name="_Toc129953176" w:id="66"/>
      <w:bookmarkStart w:name="_Toc129953548" w:id="67"/>
      <w:bookmarkStart w:name="_Toc139619154" w:id="68"/>
      <w:bookmarkEnd w:id="63"/>
      <w:r w:rsidRPr="00211F88">
        <w:rPr>
          <w:rFonts w:ascii="Arial Bold" w:hAnsi="Arial Bold" w:eastAsia="Times New Roman" w:cstheme="majorBidi"/>
          <w:b/>
          <w:bCs/>
        </w:rPr>
        <w:t>Quality assessment of full texts</w:t>
      </w:r>
      <w:bookmarkEnd w:id="64"/>
      <w:bookmarkEnd w:id="65"/>
      <w:bookmarkEnd w:id="66"/>
      <w:bookmarkEnd w:id="67"/>
      <w:bookmarkEnd w:id="68"/>
    </w:p>
    <w:p w:rsidR="00211F88" w:rsidP="00211F88" w:rsidRDefault="00211F88" w14:paraId="13D1A581" w14:textId="765CFDD9">
      <w:bookmarkStart w:name="_Hlk129684557" w:id="69"/>
      <w:r w:rsidRPr="00211F88">
        <w:t xml:space="preserve">Full texts were reviewed to identify the most relevant studies to be included within the literature review. This included </w:t>
      </w:r>
      <w:bookmarkEnd w:id="69"/>
      <w:r w:rsidR="00267017">
        <w:t>87</w:t>
      </w:r>
      <w:r w:rsidR="007230B4">
        <w:t xml:space="preserve"> </w:t>
      </w:r>
      <w:r w:rsidRPr="00211F88">
        <w:t xml:space="preserve">articles. The selection </w:t>
      </w:r>
      <w:r w:rsidR="00267017">
        <w:t xml:space="preserve">of peer reviewed articles </w:t>
      </w:r>
      <w:r w:rsidRPr="00211F88">
        <w:t xml:space="preserve">was based on quality </w:t>
      </w:r>
      <w:r w:rsidRPr="00174B62">
        <w:t xml:space="preserve">measures eg the extent to which methodologies are robust using the </w:t>
      </w:r>
      <w:r w:rsidRPr="00C6598C" w:rsidR="005C1F36">
        <w:rPr>
          <w:rFonts w:eastAsia="Arial" w:cs="Arial"/>
          <w:szCs w:val="24"/>
        </w:rPr>
        <w:t>Grading of Recommendations, Assessment, Development, and Evaluations</w:t>
      </w:r>
      <w:r w:rsidR="005C1F36">
        <w:t xml:space="preserve"> (</w:t>
      </w:r>
      <w:r w:rsidRPr="00174B62">
        <w:t>GRADE</w:t>
      </w:r>
      <w:r w:rsidR="005C1F36">
        <w:t>)</w:t>
      </w:r>
      <w:r w:rsidRPr="00174B62">
        <w:t xml:space="preserve"> </w:t>
      </w:r>
      <w:r w:rsidRPr="00174B62" w:rsidR="001C004E">
        <w:t>criteria</w:t>
      </w:r>
      <w:r w:rsidR="001C004E">
        <w:t>.</w:t>
      </w:r>
      <w:r w:rsidR="001C004E">
        <w:rPr>
          <w:vertAlign w:val="superscript"/>
        </w:rPr>
        <w:t>6</w:t>
      </w:r>
      <w:r w:rsidR="001C004E">
        <w:t xml:space="preserve"> </w:t>
      </w:r>
      <w:r w:rsidR="00E66C25">
        <w:t xml:space="preserve">In agreement with </w:t>
      </w:r>
      <w:r w:rsidR="005D19C1">
        <w:t>CQC</w:t>
      </w:r>
      <w:r w:rsidR="00E66C25">
        <w:t>, we decided to assess g</w:t>
      </w:r>
      <w:r w:rsidR="00267017">
        <w:t>rey literature for quality based</w:t>
      </w:r>
      <w:r w:rsidR="005D19C1">
        <w:t xml:space="preserve"> solely</w:t>
      </w:r>
      <w:r w:rsidR="00267017">
        <w:t xml:space="preserve"> on its relevance to the research questions</w:t>
      </w:r>
      <w:r w:rsidR="001E1D66">
        <w:t>.</w:t>
      </w:r>
      <w:r w:rsidR="007D691A">
        <w:t xml:space="preserve"> </w:t>
      </w:r>
      <w:r w:rsidRPr="005D19C1" w:rsidR="005D19C1">
        <w:t>This approach aims to create a comprehensive and equitable literature review that includes valuable insights from qualitative and user-led research. While such studies may not always meet the robustness criteria of published articles, they can offer rich and nuanced understandings of human experiences, opinions, and behaviours.</w:t>
      </w:r>
    </w:p>
    <w:p w:rsidRPr="00211F88" w:rsidR="00176052" w:rsidP="00176052" w:rsidRDefault="00176052" w14:paraId="7681200A" w14:textId="77777777">
      <w:pPr>
        <w:keepNext/>
        <w:keepLines/>
        <w:spacing w:before="240" w:after="120" w:line="280" w:lineRule="atLeast"/>
        <w:outlineLvl w:val="2"/>
        <w:rPr>
          <w:rFonts w:ascii="Arial Bold" w:hAnsi="Arial Bold" w:eastAsia="Times New Roman" w:cstheme="majorBidi"/>
          <w:b/>
          <w:bCs/>
        </w:rPr>
      </w:pPr>
      <w:r w:rsidRPr="000F7A4D">
        <w:rPr>
          <w:rFonts w:ascii="Arial Bold" w:hAnsi="Arial Bold" w:eastAsia="Times New Roman" w:cstheme="majorBidi"/>
          <w:b/>
          <w:bCs/>
        </w:rPr>
        <w:t xml:space="preserve">Relevancy </w:t>
      </w:r>
      <w:r w:rsidRPr="00211F88">
        <w:rPr>
          <w:rFonts w:ascii="Arial Bold" w:hAnsi="Arial Bold" w:eastAsia="Times New Roman" w:cstheme="majorBidi"/>
          <w:b/>
          <w:bCs/>
        </w:rPr>
        <w:t>assessment of full texts</w:t>
      </w:r>
    </w:p>
    <w:p w:rsidRPr="00211F88" w:rsidR="00176052" w:rsidP="00211F88" w:rsidRDefault="00176052" w14:paraId="51938C3D" w14:textId="2BD27471">
      <w:r w:rsidRPr="004F4904">
        <w:t xml:space="preserve">Each full text was also assessed for its relevancy to the research questions of this literature review. Texts were marked either ‘low’, ‘moderate’ or ‘high’ </w:t>
      </w:r>
      <w:r w:rsidR="00643A84">
        <w:t xml:space="preserve">relevance </w:t>
      </w:r>
      <w:r w:rsidRPr="004F4904">
        <w:t>for each of the research questions</w:t>
      </w:r>
      <w:r w:rsidRPr="000F7A4D" w:rsidR="004F4904">
        <w:t xml:space="preserve"> </w:t>
      </w:r>
      <w:r w:rsidRPr="004F4904" w:rsidR="004F4904">
        <w:t>across both peer-reviewed and grey literature.</w:t>
      </w:r>
    </w:p>
    <w:p w:rsidRPr="00211F88" w:rsidR="00211F88" w:rsidP="00211F88" w:rsidRDefault="00211F88" w14:paraId="6CC6EF72" w14:textId="2E8A74C0">
      <w:pPr>
        <w:keepNext/>
        <w:keepLines/>
        <w:spacing w:before="240" w:after="120" w:line="280" w:lineRule="atLeast"/>
        <w:outlineLvl w:val="2"/>
        <w:rPr>
          <w:rFonts w:ascii="Arial Bold" w:hAnsi="Arial Bold" w:eastAsiaTheme="majorEastAsia" w:cstheme="majorBidi"/>
          <w:b/>
          <w:bCs/>
        </w:rPr>
      </w:pPr>
      <w:bookmarkStart w:name="_Toc129865423" w:id="70"/>
      <w:bookmarkStart w:name="_Toc129865471" w:id="71"/>
      <w:bookmarkStart w:name="_Toc129953177" w:id="72"/>
      <w:bookmarkStart w:name="_Toc129953549" w:id="73"/>
      <w:bookmarkStart w:name="_Toc139619155" w:id="74"/>
      <w:r w:rsidRPr="00211F88">
        <w:rPr>
          <w:rFonts w:ascii="Arial Bold" w:hAnsi="Arial Bold" w:eastAsiaTheme="majorEastAsia" w:cstheme="majorBidi"/>
          <w:b/>
          <w:bCs/>
        </w:rPr>
        <w:t>Full review and data extraction</w:t>
      </w:r>
      <w:bookmarkEnd w:id="70"/>
      <w:bookmarkEnd w:id="71"/>
      <w:bookmarkEnd w:id="72"/>
      <w:bookmarkEnd w:id="73"/>
      <w:bookmarkEnd w:id="74"/>
    </w:p>
    <w:p w:rsidRPr="00211F88" w:rsidR="00211F88" w:rsidP="00211F88" w:rsidRDefault="00211F88" w14:paraId="26DCE15A" w14:textId="7A1AD6E2">
      <w:pPr>
        <w:rPr>
          <w:szCs w:val="20"/>
        </w:rPr>
      </w:pPr>
      <w:bookmarkStart w:name="_Hlk129684796" w:id="75"/>
      <w:r w:rsidRPr="00211F88">
        <w:t xml:space="preserve">A total of </w:t>
      </w:r>
      <w:r w:rsidR="007230B4">
        <w:t xml:space="preserve">64 </w:t>
      </w:r>
      <w:r w:rsidRPr="00211F88">
        <w:t xml:space="preserve">full-text articles were selected for inclusion in the literature review. This included </w:t>
      </w:r>
      <w:r w:rsidR="00267017">
        <w:t>18</w:t>
      </w:r>
      <w:r w:rsidRPr="00211F88">
        <w:t xml:space="preserve"> articles from grey literature and </w:t>
      </w:r>
      <w:r w:rsidR="00267017">
        <w:t>46</w:t>
      </w:r>
      <w:r w:rsidRPr="00211F88">
        <w:t xml:space="preserve"> from the peer-reviewed, academic literature base. Key information was transferred to a spreadsheet for mapping and included: </w:t>
      </w:r>
      <w:r w:rsidRPr="00211F88">
        <w:rPr>
          <w:szCs w:val="20"/>
        </w:rPr>
        <w:t>title, author, date, country, study type, the study aims, methods/ evidence base, findings, strengths, and limitations reported in the study, key themes/topics, relevant outcomes, and a quality appraisal. Findings were synthesised in accordance with the primary research questions</w:t>
      </w:r>
      <w:r w:rsidR="00D622DD">
        <w:rPr>
          <w:szCs w:val="20"/>
        </w:rPr>
        <w:t>.</w:t>
      </w:r>
      <w:r w:rsidR="00B21913">
        <w:rPr>
          <w:szCs w:val="20"/>
        </w:rPr>
        <w:t xml:space="preserve"> </w:t>
      </w:r>
      <w:r w:rsidR="000C0837">
        <w:rPr>
          <w:szCs w:val="20"/>
        </w:rPr>
        <w:t>The full texts which ha</w:t>
      </w:r>
      <w:r w:rsidR="00C548DE">
        <w:rPr>
          <w:szCs w:val="20"/>
        </w:rPr>
        <w:t>ve</w:t>
      </w:r>
      <w:r w:rsidR="000C0837">
        <w:rPr>
          <w:szCs w:val="20"/>
        </w:rPr>
        <w:t xml:space="preserve"> been included within this literature review </w:t>
      </w:r>
      <w:r w:rsidR="00C548DE">
        <w:rPr>
          <w:szCs w:val="20"/>
        </w:rPr>
        <w:t>are listed within</w:t>
      </w:r>
      <w:r w:rsidR="000C0837">
        <w:rPr>
          <w:szCs w:val="20"/>
        </w:rPr>
        <w:t xml:space="preserve"> Annex </w:t>
      </w:r>
      <w:r w:rsidR="00FF424D">
        <w:rPr>
          <w:szCs w:val="20"/>
        </w:rPr>
        <w:t>F</w:t>
      </w:r>
      <w:r w:rsidR="000C0837">
        <w:rPr>
          <w:szCs w:val="20"/>
        </w:rPr>
        <w:t>.</w:t>
      </w:r>
    </w:p>
    <w:p w:rsidRPr="00211F88" w:rsidR="00211F88" w:rsidP="00211F88" w:rsidRDefault="00211F88" w14:paraId="02BDF3C5" w14:textId="034B0618">
      <w:r w:rsidRPr="00211F88">
        <w:rPr>
          <w:szCs w:val="20"/>
        </w:rPr>
        <w:t xml:space="preserve">Table 1 sets out the number of articles reviewed to support each research question. It is important to note that some papers informed responses to multiple questions. The largest number of papers were linked to </w:t>
      </w:r>
      <w:r w:rsidR="00267017">
        <w:rPr>
          <w:szCs w:val="20"/>
        </w:rPr>
        <w:t xml:space="preserve">the types of </w:t>
      </w:r>
      <w:r w:rsidR="00FE018E">
        <w:rPr>
          <w:szCs w:val="20"/>
        </w:rPr>
        <w:t>method</w:t>
      </w:r>
      <w:r w:rsidR="00267017">
        <w:rPr>
          <w:szCs w:val="20"/>
        </w:rPr>
        <w:t xml:space="preserve">s and approaches that address health inequalities. </w:t>
      </w:r>
    </w:p>
    <w:p w:rsidRPr="00211F88" w:rsidR="00211F88" w:rsidP="00211F88" w:rsidRDefault="00211F88" w14:paraId="4C3D7746" w14:textId="4CE25187">
      <w:pPr>
        <w:keepNext/>
        <w:spacing w:line="240" w:lineRule="auto"/>
        <w:rPr>
          <w:b/>
          <w:iCs/>
          <w:szCs w:val="18"/>
        </w:rPr>
      </w:pPr>
      <w:r w:rsidRPr="00211F88">
        <w:rPr>
          <w:b/>
          <w:iCs/>
          <w:szCs w:val="18"/>
        </w:rPr>
        <w:t>Table 1 Research questions and literature reviewed</w:t>
      </w:r>
    </w:p>
    <w:tbl>
      <w:tblPr>
        <w:tblStyle w:val="TableGrid"/>
        <w:tblW w:w="5000" w:type="pct"/>
        <w:tblLook w:val="04A0" w:firstRow="1" w:lastRow="0" w:firstColumn="1" w:lastColumn="0" w:noHBand="0" w:noVBand="1"/>
      </w:tblPr>
      <w:tblGrid>
        <w:gridCol w:w="3950"/>
        <w:gridCol w:w="1893"/>
        <w:gridCol w:w="1893"/>
        <w:gridCol w:w="1891"/>
      </w:tblGrid>
      <w:tr w:rsidRPr="00211F88" w:rsidR="00267017" w:rsidTr="00267017" w14:paraId="03908780" w14:textId="6E52FC95">
        <w:trPr>
          <w:trHeight w:val="276"/>
          <w:tblHeader/>
        </w:trPr>
        <w:tc>
          <w:tcPr>
            <w:tcW w:w="2052" w:type="pct"/>
          </w:tcPr>
          <w:p w:rsidRPr="00211F88" w:rsidR="00267017" w:rsidP="007230B4" w:rsidRDefault="00267017" w14:paraId="72ACE64E" w14:textId="0E36E9D9">
            <w:pPr>
              <w:spacing w:after="0" w:line="240" w:lineRule="auto"/>
              <w:rPr>
                <w:rFonts w:eastAsia="Times New Roman" w:cs="Arial"/>
                <w:b/>
                <w:bCs/>
                <w:szCs w:val="20"/>
                <w:lang w:eastAsia="en-GB"/>
              </w:rPr>
            </w:pPr>
            <w:r w:rsidRPr="00211F88">
              <w:rPr>
                <w:rFonts w:eastAsia="Times New Roman" w:cs="Arial"/>
                <w:b/>
                <w:bCs/>
                <w:szCs w:val="20"/>
                <w:lang w:eastAsia="en-GB"/>
              </w:rPr>
              <w:t xml:space="preserve">Primary research questions </w:t>
            </w:r>
          </w:p>
        </w:tc>
        <w:tc>
          <w:tcPr>
            <w:tcW w:w="983" w:type="pct"/>
          </w:tcPr>
          <w:p w:rsidRPr="00211F88" w:rsidR="00267017" w:rsidP="007F2482" w:rsidRDefault="00267017" w14:paraId="6E0C2476" w14:textId="3A261AD0">
            <w:pPr>
              <w:spacing w:after="120" w:line="240" w:lineRule="auto"/>
              <w:rPr>
                <w:rFonts w:eastAsia="Times New Roman" w:cs="Arial"/>
                <w:b/>
                <w:bCs/>
                <w:szCs w:val="20"/>
                <w:lang w:eastAsia="en-GB"/>
              </w:rPr>
            </w:pPr>
            <w:r w:rsidRPr="00211F88">
              <w:rPr>
                <w:rFonts w:eastAsia="Times New Roman" w:cs="Arial"/>
                <w:b/>
                <w:bCs/>
                <w:szCs w:val="20"/>
                <w:lang w:eastAsia="en-GB"/>
              </w:rPr>
              <w:t xml:space="preserve">Total number of papers reviewed </w:t>
            </w:r>
          </w:p>
        </w:tc>
        <w:tc>
          <w:tcPr>
            <w:tcW w:w="983" w:type="pct"/>
          </w:tcPr>
          <w:p w:rsidRPr="00211F88" w:rsidR="00267017" w:rsidP="007230B4" w:rsidRDefault="00267017" w14:paraId="62DFB2E2" w14:textId="05DB01EC">
            <w:pPr>
              <w:spacing w:after="0" w:line="240" w:lineRule="auto"/>
              <w:rPr>
                <w:rFonts w:eastAsia="Times New Roman" w:cs="Arial"/>
                <w:b/>
                <w:bCs/>
                <w:szCs w:val="20"/>
                <w:lang w:eastAsia="en-GB"/>
              </w:rPr>
            </w:pPr>
            <w:r w:rsidRPr="00211F88">
              <w:rPr>
                <w:rFonts w:eastAsia="Times New Roman" w:cs="Arial"/>
                <w:b/>
                <w:bCs/>
                <w:szCs w:val="20"/>
                <w:lang w:eastAsia="en-GB"/>
              </w:rPr>
              <w:t>Peer-reviewed papers</w:t>
            </w:r>
          </w:p>
        </w:tc>
        <w:tc>
          <w:tcPr>
            <w:tcW w:w="982" w:type="pct"/>
          </w:tcPr>
          <w:p w:rsidRPr="00211F88" w:rsidR="00267017" w:rsidP="007230B4" w:rsidRDefault="00267017" w14:paraId="3ADE7739" w14:textId="259F60D8">
            <w:pPr>
              <w:spacing w:after="0" w:line="240" w:lineRule="auto"/>
              <w:rPr>
                <w:rFonts w:eastAsia="Times New Roman" w:cs="Arial"/>
                <w:b/>
                <w:bCs/>
                <w:szCs w:val="20"/>
                <w:lang w:eastAsia="en-GB"/>
              </w:rPr>
            </w:pPr>
            <w:r w:rsidRPr="00211F88">
              <w:rPr>
                <w:rFonts w:eastAsia="Times New Roman" w:cs="Arial"/>
                <w:b/>
                <w:bCs/>
                <w:szCs w:val="20"/>
                <w:lang w:eastAsia="en-GB"/>
              </w:rPr>
              <w:t>Grey literature papers</w:t>
            </w:r>
          </w:p>
        </w:tc>
      </w:tr>
      <w:tr w:rsidRPr="00211F88" w:rsidR="00267017" w:rsidTr="00267017" w14:paraId="254B6B57" w14:textId="3E9980A6">
        <w:trPr>
          <w:trHeight w:val="779"/>
        </w:trPr>
        <w:tc>
          <w:tcPr>
            <w:tcW w:w="2052" w:type="pct"/>
          </w:tcPr>
          <w:p w:rsidRPr="00211F88" w:rsidR="00267017" w:rsidP="00267017" w:rsidRDefault="00267017" w14:paraId="675566E4" w14:textId="0D6FF960">
            <w:pPr>
              <w:spacing w:after="120"/>
              <w:rPr>
                <w:rFonts w:eastAsia="Times New Roman" w:cs="Arial"/>
                <w:szCs w:val="20"/>
                <w:lang w:eastAsia="en-GB"/>
              </w:rPr>
            </w:pPr>
            <w:r w:rsidRPr="00601607">
              <w:t>What are effective ways of identifying local health inequalities or potential health inequalities?</w:t>
            </w:r>
          </w:p>
        </w:tc>
        <w:tc>
          <w:tcPr>
            <w:tcW w:w="983" w:type="pct"/>
          </w:tcPr>
          <w:p w:rsidRPr="00211F88" w:rsidR="00267017" w:rsidP="00267017" w:rsidRDefault="00267017" w14:paraId="5259283F" w14:textId="5A1386DF">
            <w:pPr>
              <w:spacing w:after="0"/>
              <w:rPr>
                <w:rFonts w:eastAsia="Calibri" w:cs="Arial"/>
                <w:szCs w:val="20"/>
                <w:lang w:eastAsia="en-GB"/>
              </w:rPr>
            </w:pPr>
            <w:r>
              <w:rPr>
                <w:rFonts w:eastAsia="Calibri" w:cs="Arial"/>
                <w:szCs w:val="20"/>
                <w:lang w:eastAsia="en-GB"/>
              </w:rPr>
              <w:t>9</w:t>
            </w:r>
          </w:p>
        </w:tc>
        <w:tc>
          <w:tcPr>
            <w:tcW w:w="983" w:type="pct"/>
          </w:tcPr>
          <w:p w:rsidRPr="00211F88" w:rsidR="00267017" w:rsidP="00267017" w:rsidRDefault="00267017" w14:paraId="4169D68C" w14:textId="73C07FC1">
            <w:pPr>
              <w:spacing w:after="0"/>
              <w:rPr>
                <w:rFonts w:eastAsia="Calibri" w:cs="Arial"/>
                <w:szCs w:val="20"/>
                <w:lang w:eastAsia="en-GB"/>
              </w:rPr>
            </w:pPr>
            <w:r>
              <w:rPr>
                <w:rFonts w:eastAsia="Calibri" w:cs="Arial"/>
                <w:szCs w:val="20"/>
                <w:lang w:eastAsia="en-GB"/>
              </w:rPr>
              <w:t>5</w:t>
            </w:r>
          </w:p>
        </w:tc>
        <w:tc>
          <w:tcPr>
            <w:tcW w:w="982" w:type="pct"/>
          </w:tcPr>
          <w:p w:rsidRPr="00211F88" w:rsidR="00267017" w:rsidP="00267017" w:rsidRDefault="00267017" w14:paraId="145894A6" w14:textId="7A53A9C3">
            <w:pPr>
              <w:spacing w:after="0"/>
              <w:rPr>
                <w:rFonts w:eastAsia="Calibri" w:cs="Arial"/>
                <w:szCs w:val="20"/>
                <w:lang w:eastAsia="en-GB"/>
              </w:rPr>
            </w:pPr>
            <w:r>
              <w:rPr>
                <w:rFonts w:eastAsia="Calibri" w:cs="Arial"/>
                <w:szCs w:val="20"/>
                <w:lang w:eastAsia="en-GB"/>
              </w:rPr>
              <w:t>4</w:t>
            </w:r>
          </w:p>
        </w:tc>
      </w:tr>
      <w:tr w:rsidRPr="00211F88" w:rsidR="00267017" w:rsidTr="00267017" w14:paraId="07C1C242" w14:textId="62009ED1">
        <w:trPr>
          <w:trHeight w:val="629"/>
        </w:trPr>
        <w:tc>
          <w:tcPr>
            <w:tcW w:w="2052" w:type="pct"/>
          </w:tcPr>
          <w:p w:rsidRPr="00211F88" w:rsidR="00267017" w:rsidP="00267017" w:rsidRDefault="00267017" w14:paraId="4224044A" w14:textId="52CC1550">
            <w:pPr>
              <w:spacing w:after="120"/>
              <w:rPr>
                <w:rFonts w:eastAsia="Times New Roman" w:cs="Arial"/>
                <w:b/>
                <w:bCs/>
                <w:szCs w:val="20"/>
                <w:lang w:eastAsia="en-GB"/>
              </w:rPr>
            </w:pPr>
            <w:r w:rsidRPr="00601607">
              <w:t xml:space="preserve">What are the evidence-based </w:t>
            </w:r>
            <w:r w:rsidR="00FE018E">
              <w:t>method</w:t>
            </w:r>
            <w:r w:rsidRPr="00601607">
              <w:t xml:space="preserve">s/approaches that work to address health inequalities within a local area? </w:t>
            </w:r>
          </w:p>
        </w:tc>
        <w:tc>
          <w:tcPr>
            <w:tcW w:w="983" w:type="pct"/>
          </w:tcPr>
          <w:p w:rsidRPr="00211F88" w:rsidR="00267017" w:rsidP="00267017" w:rsidRDefault="00267017" w14:paraId="7AC54FBD" w14:textId="4E091E17">
            <w:pPr>
              <w:rPr>
                <w:rFonts w:eastAsia="Times New Roman" w:cs="Arial"/>
                <w:szCs w:val="20"/>
                <w:lang w:eastAsia="en-GB"/>
              </w:rPr>
            </w:pPr>
            <w:r>
              <w:rPr>
                <w:rFonts w:eastAsia="Times New Roman" w:cs="Arial"/>
                <w:szCs w:val="20"/>
                <w:lang w:eastAsia="en-GB"/>
              </w:rPr>
              <w:t>5</w:t>
            </w:r>
            <w:r w:rsidR="007F2482">
              <w:rPr>
                <w:rFonts w:eastAsia="Times New Roman" w:cs="Arial"/>
                <w:szCs w:val="20"/>
                <w:lang w:eastAsia="en-GB"/>
              </w:rPr>
              <w:t>1</w:t>
            </w:r>
          </w:p>
        </w:tc>
        <w:tc>
          <w:tcPr>
            <w:tcW w:w="983" w:type="pct"/>
          </w:tcPr>
          <w:p w:rsidRPr="00211F88" w:rsidR="00267017" w:rsidP="00267017" w:rsidRDefault="00267017" w14:paraId="7E910316" w14:textId="4619604A">
            <w:pPr>
              <w:rPr>
                <w:rFonts w:eastAsia="Times New Roman" w:cs="Arial"/>
                <w:szCs w:val="20"/>
                <w:lang w:eastAsia="en-GB"/>
              </w:rPr>
            </w:pPr>
            <w:r>
              <w:rPr>
                <w:rFonts w:eastAsia="Times New Roman" w:cs="Arial"/>
                <w:szCs w:val="20"/>
                <w:lang w:eastAsia="en-GB"/>
              </w:rPr>
              <w:t>3</w:t>
            </w:r>
            <w:r w:rsidR="007F2482">
              <w:rPr>
                <w:rFonts w:eastAsia="Times New Roman" w:cs="Arial"/>
                <w:szCs w:val="20"/>
                <w:lang w:eastAsia="en-GB"/>
              </w:rPr>
              <w:t>6</w:t>
            </w:r>
          </w:p>
        </w:tc>
        <w:tc>
          <w:tcPr>
            <w:tcW w:w="982" w:type="pct"/>
          </w:tcPr>
          <w:p w:rsidRPr="00211F88" w:rsidR="00267017" w:rsidP="00267017" w:rsidRDefault="00267017" w14:paraId="1C3065E5" w14:textId="4A922CA4">
            <w:pPr>
              <w:rPr>
                <w:rFonts w:eastAsia="Times New Roman" w:cs="Arial"/>
                <w:szCs w:val="20"/>
                <w:lang w:eastAsia="en-GB"/>
              </w:rPr>
            </w:pPr>
            <w:r>
              <w:rPr>
                <w:rFonts w:eastAsia="Times New Roman" w:cs="Arial"/>
                <w:szCs w:val="20"/>
                <w:lang w:eastAsia="en-GB"/>
              </w:rPr>
              <w:t>1</w:t>
            </w:r>
            <w:r w:rsidR="000F3150">
              <w:rPr>
                <w:rFonts w:eastAsia="Times New Roman" w:cs="Arial"/>
                <w:szCs w:val="20"/>
                <w:lang w:eastAsia="en-GB"/>
              </w:rPr>
              <w:t>5</w:t>
            </w:r>
          </w:p>
        </w:tc>
      </w:tr>
      <w:tr w:rsidRPr="00211F88" w:rsidR="00267017" w:rsidTr="00267017" w14:paraId="3CCDCFE5" w14:textId="3DF86C35">
        <w:trPr>
          <w:trHeight w:val="1056"/>
        </w:trPr>
        <w:tc>
          <w:tcPr>
            <w:tcW w:w="2052" w:type="pct"/>
          </w:tcPr>
          <w:p w:rsidRPr="00211F88" w:rsidR="00267017" w:rsidP="00267017" w:rsidRDefault="00267017" w14:paraId="2FD5ECC5" w14:textId="042C593B">
            <w:pPr>
              <w:spacing w:after="120"/>
              <w:rPr>
                <w:rFonts w:eastAsia="Times New Roman" w:cs="Arial"/>
                <w:b/>
                <w:bCs/>
                <w:szCs w:val="20"/>
                <w:lang w:eastAsia="en-GB"/>
              </w:rPr>
            </w:pPr>
            <w:r w:rsidRPr="00601607">
              <w:t>What does successful engagement with local people and communities look like?</w:t>
            </w:r>
          </w:p>
        </w:tc>
        <w:tc>
          <w:tcPr>
            <w:tcW w:w="983" w:type="pct"/>
          </w:tcPr>
          <w:p w:rsidRPr="00211F88" w:rsidR="00267017" w:rsidP="00267017" w:rsidRDefault="008A7267" w14:paraId="3CE90201" w14:textId="043F3C94">
            <w:pPr>
              <w:rPr>
                <w:rFonts w:eastAsia="Times New Roman" w:cs="Arial"/>
                <w:szCs w:val="20"/>
                <w:lang w:eastAsia="en-GB"/>
              </w:rPr>
            </w:pPr>
            <w:r>
              <w:rPr>
                <w:rFonts w:eastAsia="Times New Roman" w:cs="Arial"/>
                <w:szCs w:val="20"/>
                <w:lang w:eastAsia="en-GB"/>
              </w:rPr>
              <w:t>3</w:t>
            </w:r>
            <w:r w:rsidR="00415C25">
              <w:rPr>
                <w:rFonts w:eastAsia="Times New Roman" w:cs="Arial"/>
                <w:szCs w:val="20"/>
                <w:lang w:eastAsia="en-GB"/>
              </w:rPr>
              <w:t>0</w:t>
            </w:r>
          </w:p>
        </w:tc>
        <w:tc>
          <w:tcPr>
            <w:tcW w:w="983" w:type="pct"/>
          </w:tcPr>
          <w:p w:rsidRPr="00211F88" w:rsidR="00267017" w:rsidP="00267017" w:rsidRDefault="008A7267" w14:paraId="51FEC24B" w14:textId="26983FAF">
            <w:pPr>
              <w:rPr>
                <w:rFonts w:eastAsia="Times New Roman" w:cs="Arial"/>
                <w:szCs w:val="20"/>
                <w:lang w:eastAsia="en-GB"/>
              </w:rPr>
            </w:pPr>
            <w:r>
              <w:rPr>
                <w:rFonts w:eastAsia="Times New Roman" w:cs="Arial"/>
                <w:szCs w:val="20"/>
                <w:lang w:eastAsia="en-GB"/>
              </w:rPr>
              <w:t>23</w:t>
            </w:r>
          </w:p>
        </w:tc>
        <w:tc>
          <w:tcPr>
            <w:tcW w:w="982" w:type="pct"/>
          </w:tcPr>
          <w:p w:rsidRPr="00211F88" w:rsidR="00267017" w:rsidP="00267017" w:rsidRDefault="008A7267" w14:paraId="3570A099" w14:textId="3ED0B7BF">
            <w:pPr>
              <w:rPr>
                <w:rFonts w:eastAsia="Times New Roman" w:cs="Arial"/>
                <w:szCs w:val="20"/>
                <w:lang w:eastAsia="en-GB"/>
              </w:rPr>
            </w:pPr>
            <w:r>
              <w:rPr>
                <w:rFonts w:eastAsia="Times New Roman" w:cs="Arial"/>
                <w:szCs w:val="20"/>
                <w:lang w:eastAsia="en-GB"/>
              </w:rPr>
              <w:t>8</w:t>
            </w:r>
          </w:p>
        </w:tc>
      </w:tr>
    </w:tbl>
    <w:p w:rsidRPr="00211F88" w:rsidR="00211F88" w:rsidP="00AF10D4" w:rsidRDefault="00211F88" w14:paraId="71630C27" w14:textId="30FD4737">
      <w:pPr>
        <w:keepNext/>
        <w:keepLines/>
        <w:numPr>
          <w:ilvl w:val="1"/>
          <w:numId w:val="7"/>
        </w:numPr>
        <w:spacing w:before="240" w:after="120" w:line="320" w:lineRule="atLeast"/>
        <w:ind w:left="680"/>
        <w:outlineLvl w:val="1"/>
        <w:rPr>
          <w:rFonts w:ascii="Arial Bold" w:hAnsi="Arial Bold" w:eastAsiaTheme="majorEastAsia" w:cstheme="majorBidi"/>
          <w:b/>
          <w:bCs/>
          <w:sz w:val="28"/>
          <w:szCs w:val="26"/>
        </w:rPr>
      </w:pPr>
      <w:bookmarkStart w:name="_Toc129865424" w:id="76"/>
      <w:bookmarkStart w:name="_Toc129865472" w:id="77"/>
      <w:bookmarkStart w:name="_Toc129953097" w:id="78"/>
      <w:bookmarkStart w:name="_Toc129953128" w:id="79"/>
      <w:bookmarkStart w:name="_Toc129953178" w:id="80"/>
      <w:bookmarkStart w:name="_Toc129953550" w:id="81"/>
      <w:bookmarkStart w:name="_Toc131160263" w:id="82"/>
      <w:bookmarkStart w:name="_Toc139558227" w:id="83"/>
      <w:bookmarkStart w:name="_Toc139619156" w:id="84"/>
      <w:bookmarkEnd w:id="75"/>
      <w:r w:rsidRPr="00211F88">
        <w:rPr>
          <w:rFonts w:ascii="Arial Bold" w:hAnsi="Arial Bold" w:eastAsiaTheme="majorEastAsia" w:cstheme="majorBidi"/>
          <w:b/>
          <w:bCs/>
          <w:sz w:val="28"/>
          <w:szCs w:val="26"/>
        </w:rPr>
        <w:t>Methodological limitations</w:t>
      </w:r>
      <w:bookmarkEnd w:id="76"/>
      <w:bookmarkEnd w:id="77"/>
      <w:bookmarkEnd w:id="78"/>
      <w:bookmarkEnd w:id="79"/>
      <w:bookmarkEnd w:id="80"/>
      <w:bookmarkEnd w:id="81"/>
      <w:bookmarkEnd w:id="82"/>
      <w:bookmarkEnd w:id="83"/>
      <w:bookmarkEnd w:id="84"/>
      <w:r w:rsidRPr="00211F88">
        <w:rPr>
          <w:rFonts w:ascii="Arial Bold" w:hAnsi="Arial Bold" w:eastAsiaTheme="majorEastAsia" w:cstheme="majorBidi"/>
          <w:b/>
          <w:bCs/>
          <w:sz w:val="28"/>
          <w:szCs w:val="26"/>
        </w:rPr>
        <w:t xml:space="preserve"> </w:t>
      </w:r>
    </w:p>
    <w:p w:rsidRPr="00211F88" w:rsidR="00211F88" w:rsidRDefault="00211F88" w14:paraId="7FD63365" w14:textId="0BAD2B83">
      <w:pPr>
        <w:rPr>
          <w:highlight w:val="yellow"/>
        </w:rPr>
      </w:pPr>
      <w:r w:rsidRPr="00211F88">
        <w:t xml:space="preserve">The limitations of a literature review of this nature can be grounded in the reliance on previously published research and the availability of these studies (using the agreed search methodology and inclusion/exclusion criteria). For example, the volume of research that is able to provide demonstratable and measurable outcomes is limited within a complex system environment, where linking characteristics and enablers to positive outcomes </w:t>
      </w:r>
      <w:r w:rsidRPr="00211F88" w:rsidR="00D904D0">
        <w:t>is not</w:t>
      </w:r>
      <w:r w:rsidRPr="00211F88">
        <w:t xml:space="preserve"> always easy. </w:t>
      </w:r>
    </w:p>
    <w:p w:rsidRPr="00211F88" w:rsidR="00211F88" w:rsidRDefault="00211F88" w14:paraId="577E9403" w14:textId="68837513">
      <w:r w:rsidRPr="00D31364">
        <w:t>Whilst the selected full-text articles were relevant to the topic, the source quality of evidence was low on the research hierarchy</w:t>
      </w:r>
      <w:r w:rsidR="00F424BF">
        <w:t xml:space="preserve"> – meaning that some of the evidence provided in these articles did not come from high quality/rigorous </w:t>
      </w:r>
      <w:r w:rsidR="00444237">
        <w:t>research</w:t>
      </w:r>
      <w:r w:rsidRPr="00D31364">
        <w:t>.</w:t>
      </w:r>
      <w:r w:rsidRPr="00211F88">
        <w:t xml:space="preserve"> For example, these included a range of scoping reviews, case studies</w:t>
      </w:r>
      <w:r w:rsidR="000F3150">
        <w:t xml:space="preserve"> and</w:t>
      </w:r>
      <w:r w:rsidRPr="00211F88">
        <w:t xml:space="preserve"> qualitative studies amongst others. </w:t>
      </w:r>
    </w:p>
    <w:p w:rsidR="006C64F7" w:rsidP="004138FE" w:rsidRDefault="00211F88" w14:paraId="0197F843" w14:textId="423CF5E5">
      <w:r w:rsidRPr="00211F88">
        <w:t xml:space="preserve">Relevant extracts from the literature were mapped to the research questions. However, </w:t>
      </w:r>
      <w:r w:rsidR="00F129DE">
        <w:t>w</w:t>
      </w:r>
      <w:r w:rsidR="006C64F7">
        <w:t xml:space="preserve">ithin the literature, </w:t>
      </w:r>
      <w:r w:rsidR="00F129DE">
        <w:t>one of the ma</w:t>
      </w:r>
      <w:r w:rsidR="000917C4">
        <w:t>i</w:t>
      </w:r>
      <w:r w:rsidR="00F129DE">
        <w:t xml:space="preserve">n </w:t>
      </w:r>
      <w:r w:rsidR="006C64F7">
        <w:t xml:space="preserve">gaps </w:t>
      </w:r>
      <w:r w:rsidR="00F129DE">
        <w:t xml:space="preserve">that has been </w:t>
      </w:r>
      <w:r w:rsidR="006C64F7">
        <w:t>identified</w:t>
      </w:r>
      <w:r w:rsidR="00F129DE">
        <w:t xml:space="preserve"> is </w:t>
      </w:r>
      <w:r w:rsidR="006C64F7">
        <w:t xml:space="preserve">the extent </w:t>
      </w:r>
      <w:r w:rsidR="00F129DE">
        <w:t xml:space="preserve">to </w:t>
      </w:r>
      <w:r w:rsidR="006C64F7">
        <w:t xml:space="preserve">which the literature encompasses the </w:t>
      </w:r>
      <w:r w:rsidR="000C0837">
        <w:t xml:space="preserve">addressing of health inequalities </w:t>
      </w:r>
      <w:r w:rsidR="006C64F7">
        <w:t>pathway (</w:t>
      </w:r>
      <w:r w:rsidR="000C0837">
        <w:t xml:space="preserve">ie </w:t>
      </w:r>
      <w:r w:rsidR="006C64F7">
        <w:t>from identification of health inequalities to development an</w:t>
      </w:r>
      <w:r w:rsidR="00CC4A72">
        <w:t xml:space="preserve"> intervention</w:t>
      </w:r>
      <w:r w:rsidR="006C64F7">
        <w:t xml:space="preserve"> </w:t>
      </w:r>
      <w:r w:rsidR="00FE018E">
        <w:t>method</w:t>
      </w:r>
      <w:r w:rsidR="006C64F7">
        <w:t xml:space="preserve"> and conducting an evaluation). </w:t>
      </w:r>
    </w:p>
    <w:p w:rsidR="001A6488" w:rsidP="004138FE" w:rsidRDefault="000C0837" w14:paraId="6F85251D" w14:textId="6230954A">
      <w:r>
        <w:t>Additionally, a number of gaps have been identified within the literature, through the triangulation of evidence with discussion from the expert panel workshops. Gaps included ongoing evidence of</w:t>
      </w:r>
      <w:r w:rsidR="006C64F7">
        <w:t xml:space="preserve"> sustainability, with many </w:t>
      </w:r>
      <w:r w:rsidR="00FE018E">
        <w:t>method</w:t>
      </w:r>
      <w:r w:rsidR="006C64F7">
        <w:t xml:space="preserve">s </w:t>
      </w:r>
      <w:r w:rsidR="009224E1">
        <w:t xml:space="preserve">described in literature being </w:t>
      </w:r>
      <w:r w:rsidR="006C64F7">
        <w:t xml:space="preserve">one-off / </w:t>
      </w:r>
      <w:r w:rsidR="009224E1">
        <w:t>short-</w:t>
      </w:r>
      <w:r w:rsidR="006C64F7">
        <w:t>term in nature.</w:t>
      </w:r>
    </w:p>
    <w:p w:rsidR="001A6488" w:rsidRDefault="001A6488" w14:paraId="06879CE5" w14:textId="77777777">
      <w:pPr>
        <w:spacing w:after="160" w:line="259" w:lineRule="auto"/>
      </w:pPr>
      <w:r>
        <w:br w:type="page"/>
      </w:r>
    </w:p>
    <w:p w:rsidR="00EE26DE" w:rsidP="0076419C" w:rsidRDefault="00EE26DE" w14:paraId="0A350FDF" w14:textId="09A058F2">
      <w:pPr>
        <w:pStyle w:val="Heading1Num"/>
      </w:pPr>
      <w:bookmarkStart w:name="_Toc129861344" w:id="85"/>
      <w:bookmarkStart w:name="_Toc129865425" w:id="86"/>
      <w:bookmarkStart w:name="_Toc129865473" w:id="87"/>
      <w:bookmarkStart w:name="_Toc129953098" w:id="88"/>
      <w:bookmarkStart w:name="_Toc129953129" w:id="89"/>
      <w:bookmarkStart w:name="_Toc129953179" w:id="90"/>
      <w:bookmarkStart w:name="_Toc129953551" w:id="91"/>
      <w:bookmarkStart w:name="_Toc146539769" w:id="92"/>
      <w:r>
        <w:t>Findings from the rapid literature review</w:t>
      </w:r>
      <w:bookmarkEnd w:id="85"/>
      <w:bookmarkEnd w:id="86"/>
      <w:bookmarkEnd w:id="87"/>
      <w:bookmarkEnd w:id="88"/>
      <w:bookmarkEnd w:id="89"/>
      <w:bookmarkEnd w:id="90"/>
      <w:bookmarkEnd w:id="91"/>
      <w:bookmarkEnd w:id="92"/>
      <w:r>
        <w:t xml:space="preserve"> </w:t>
      </w:r>
    </w:p>
    <w:p w:rsidRPr="00476B2F" w:rsidR="0089037E" w:rsidP="0089037E" w:rsidRDefault="0089037E" w14:paraId="08D6977B" w14:textId="77777777">
      <w:pPr>
        <w:spacing w:before="240"/>
      </w:pPr>
      <w:bookmarkStart w:name="_Toc129861345" w:id="93"/>
      <w:bookmarkStart w:name="_Toc129865449" w:id="94"/>
      <w:bookmarkStart w:name="_Toc129865497" w:id="95"/>
      <w:bookmarkStart w:name="_Toc129953105" w:id="96"/>
      <w:bookmarkStart w:name="_Toc129953136" w:id="97"/>
      <w:bookmarkStart w:name="_Toc129953215" w:id="98"/>
      <w:bookmarkStart w:name="_Toc129953587" w:id="99"/>
      <w:r>
        <w:t xml:space="preserve">This chapter focuses on the findings from the literature against each of our research themes. It also provides a summary of the common conditions for success and challenges under each theme. </w:t>
      </w:r>
    </w:p>
    <w:p w:rsidR="0089037E" w:rsidP="0089037E" w:rsidRDefault="0089037E" w14:paraId="2B7E082D" w14:textId="77777777">
      <w:pPr>
        <w:pStyle w:val="Heading2Num"/>
        <w:spacing w:after="240"/>
        <w:ind w:left="680"/>
      </w:pPr>
      <w:bookmarkStart w:name="_Toc139558229" w:id="100"/>
      <w:bookmarkStart w:name="_Toc139619158" w:id="101"/>
      <w:r>
        <w:t>Theme 1: What are effective ways of identifying local health inequalities or potential health inequalities?</w:t>
      </w:r>
      <w:bookmarkEnd w:id="100"/>
      <w:bookmarkEnd w:id="101"/>
    </w:p>
    <w:p w:rsidR="0089037E" w:rsidP="00CF2642" w:rsidRDefault="0089037E" w14:paraId="1D0C6C8F" w14:textId="77777777">
      <w:pPr>
        <w:spacing w:before="240" w:after="120"/>
      </w:pPr>
      <w:r>
        <w:t>This section outlines methods and methodological considerations for identifying health inequalities for local areas. We address:</w:t>
      </w:r>
    </w:p>
    <w:p w:rsidR="0089037E" w:rsidP="00CF2642" w:rsidRDefault="0089037E" w14:paraId="00AD64FF" w14:textId="77777777">
      <w:pPr>
        <w:pStyle w:val="ListParagraph"/>
        <w:numPr>
          <w:ilvl w:val="0"/>
          <w:numId w:val="33"/>
        </w:numPr>
        <w:spacing w:before="120"/>
      </w:pPr>
      <w:r>
        <w:t xml:space="preserve">The methods for identifying health inequalities; </w:t>
      </w:r>
    </w:p>
    <w:p w:rsidR="0089037E" w:rsidP="00AF10D4" w:rsidRDefault="0089037E" w14:paraId="17084336" w14:textId="77777777">
      <w:pPr>
        <w:pStyle w:val="ListParagraph"/>
        <w:numPr>
          <w:ilvl w:val="0"/>
          <w:numId w:val="33"/>
        </w:numPr>
        <w:spacing w:before="240"/>
      </w:pPr>
      <w:r>
        <w:t>The considerations for local areas when determining what methods to use to identify health inequalities; and</w:t>
      </w:r>
    </w:p>
    <w:p w:rsidR="0089037E" w:rsidP="00AF10D4" w:rsidRDefault="0089037E" w14:paraId="3307276A" w14:textId="77777777">
      <w:pPr>
        <w:pStyle w:val="ListParagraph"/>
        <w:numPr>
          <w:ilvl w:val="0"/>
          <w:numId w:val="33"/>
        </w:numPr>
        <w:spacing w:before="240"/>
      </w:pPr>
      <w:r>
        <w:t>Critical success factors for engagement.</w:t>
      </w:r>
    </w:p>
    <w:p w:rsidRPr="00121E98" w:rsidR="0089037E" w:rsidP="0089037E" w:rsidRDefault="0089037E" w14:paraId="347FE6B6" w14:textId="77777777">
      <w:pPr>
        <w:rPr>
          <w:b/>
          <w:bCs/>
        </w:rPr>
      </w:pPr>
      <w:r w:rsidRPr="00121E98">
        <w:rPr>
          <w:b/>
          <w:bCs/>
        </w:rPr>
        <w:t>The methods for identifying health inequalities</w:t>
      </w:r>
      <w:r w:rsidRPr="00121E98" w:rsidDel="00544FDC">
        <w:rPr>
          <w:b/>
          <w:bCs/>
        </w:rPr>
        <w:t xml:space="preserve"> </w:t>
      </w:r>
    </w:p>
    <w:p w:rsidR="0089037E" w:rsidP="0089037E" w:rsidRDefault="0089037E" w14:paraId="29C2A41B" w14:textId="77777777">
      <w:r>
        <w:t>Given the complexities of local areas and the specific needs of each, unsurprisingly, a range of different methods have been shown to identify health inequalities. These can be segmented into three overarching categories:</w:t>
      </w:r>
    </w:p>
    <w:p w:rsidR="0089037E" w:rsidP="0089037E" w:rsidRDefault="0089037E" w14:paraId="2B1E62AF" w14:textId="77777777">
      <w:pPr>
        <w:tabs>
          <w:tab w:val="left" w:pos="3867"/>
        </w:tabs>
      </w:pPr>
      <w:r w:rsidRPr="00246E28">
        <w:rPr>
          <w:i/>
          <w:iCs/>
        </w:rPr>
        <w:t>Population statistics</w:t>
      </w:r>
    </w:p>
    <w:p w:rsidR="0089037E" w:rsidP="0089037E" w:rsidRDefault="0089037E" w14:paraId="47BC9E9D" w14:textId="398916CE">
      <w:pPr>
        <w:pStyle w:val="ListParagraph"/>
        <w:rPr>
          <w:rFonts w:cs="Arial"/>
          <w:color w:val="9F5CC0" w:themeColor="accent5"/>
          <w:szCs w:val="24"/>
          <w:shd w:val="clear" w:color="auto" w:fill="FFFFFF"/>
        </w:rPr>
      </w:pPr>
      <w:bookmarkStart w:name="_Hlk144292430" w:id="102"/>
      <w:r w:rsidRPr="00246E28">
        <w:rPr>
          <w:szCs w:val="20"/>
        </w:rPr>
        <w:t xml:space="preserve">The use of population statistics was shown to be effective in a number of different cases. For example, </w:t>
      </w:r>
      <w:r w:rsidR="004D32A9">
        <w:rPr>
          <w:szCs w:val="20"/>
        </w:rPr>
        <w:t xml:space="preserve">in a hospital trust area in West London </w:t>
      </w:r>
      <w:r w:rsidR="00C332CB">
        <w:rPr>
          <w:szCs w:val="20"/>
        </w:rPr>
        <w:t xml:space="preserve">population data helped to identify </w:t>
      </w:r>
      <w:r w:rsidR="008E31E1">
        <w:rPr>
          <w:szCs w:val="20"/>
        </w:rPr>
        <w:t>and define core ‘catchment populations’</w:t>
      </w:r>
      <w:r w:rsidR="00B45946">
        <w:rPr>
          <w:szCs w:val="20"/>
        </w:rPr>
        <w:t xml:space="preserve">. </w:t>
      </w:r>
      <w:r w:rsidR="008E31E1">
        <w:rPr>
          <w:szCs w:val="20"/>
        </w:rPr>
        <w:t xml:space="preserve">This was done by employing a ‘proportional flow method’ which </w:t>
      </w:r>
      <w:r w:rsidR="006531A4">
        <w:rPr>
          <w:szCs w:val="20"/>
        </w:rPr>
        <w:t xml:space="preserve">identified </w:t>
      </w:r>
      <w:r w:rsidR="007E4B4D">
        <w:rPr>
          <w:szCs w:val="20"/>
        </w:rPr>
        <w:t xml:space="preserve">areas </w:t>
      </w:r>
      <w:r w:rsidR="00ED440A">
        <w:rPr>
          <w:szCs w:val="20"/>
        </w:rPr>
        <w:t>within the hospital catchment</w:t>
      </w:r>
      <w:r w:rsidR="007E4B4D">
        <w:rPr>
          <w:szCs w:val="20"/>
        </w:rPr>
        <w:t xml:space="preserve"> where</w:t>
      </w:r>
      <w:r w:rsidR="006531A4">
        <w:rPr>
          <w:szCs w:val="20"/>
        </w:rPr>
        <w:t xml:space="preserve"> 30%</w:t>
      </w:r>
      <w:r w:rsidR="00101323">
        <w:rPr>
          <w:szCs w:val="20"/>
        </w:rPr>
        <w:t xml:space="preserve"> </w:t>
      </w:r>
      <w:r w:rsidR="005A107F">
        <w:rPr>
          <w:szCs w:val="20"/>
        </w:rPr>
        <w:t>or</w:t>
      </w:r>
      <w:r w:rsidR="006531A4">
        <w:rPr>
          <w:szCs w:val="20"/>
        </w:rPr>
        <w:t xml:space="preserve"> more </w:t>
      </w:r>
      <w:r w:rsidR="005A107F">
        <w:rPr>
          <w:szCs w:val="20"/>
        </w:rPr>
        <w:t>of the residents</w:t>
      </w:r>
      <w:r w:rsidR="006531A4">
        <w:rPr>
          <w:szCs w:val="20"/>
        </w:rPr>
        <w:t xml:space="preserve"> attend</w:t>
      </w:r>
      <w:r w:rsidR="008556B4">
        <w:rPr>
          <w:szCs w:val="20"/>
        </w:rPr>
        <w:t>ed</w:t>
      </w:r>
      <w:r w:rsidR="006531A4">
        <w:rPr>
          <w:szCs w:val="20"/>
        </w:rPr>
        <w:t xml:space="preserve"> or requir</w:t>
      </w:r>
      <w:r w:rsidR="008556B4">
        <w:rPr>
          <w:szCs w:val="20"/>
        </w:rPr>
        <w:t>ed</w:t>
      </w:r>
      <w:r w:rsidR="00101323">
        <w:rPr>
          <w:szCs w:val="20"/>
        </w:rPr>
        <w:t xml:space="preserve"> hospital</w:t>
      </w:r>
      <w:r w:rsidR="006531A4">
        <w:rPr>
          <w:szCs w:val="20"/>
        </w:rPr>
        <w:t xml:space="preserve"> treatment</w:t>
      </w:r>
      <w:r w:rsidR="00101323">
        <w:rPr>
          <w:szCs w:val="20"/>
        </w:rPr>
        <w:t>.</w:t>
      </w:r>
      <w:r w:rsidR="00C332CB">
        <w:rPr>
          <w:szCs w:val="20"/>
        </w:rPr>
        <w:t xml:space="preserve"> </w:t>
      </w:r>
      <w:r w:rsidRPr="008610FD">
        <w:rPr>
          <w:szCs w:val="20"/>
        </w:rPr>
        <w:t xml:space="preserve">From this, health indicators were derived for the </w:t>
      </w:r>
      <w:r w:rsidRPr="008610FD" w:rsidR="00146D6E">
        <w:rPr>
          <w:szCs w:val="20"/>
        </w:rPr>
        <w:t>‘catchment</w:t>
      </w:r>
      <w:r w:rsidRPr="008610FD">
        <w:rPr>
          <w:szCs w:val="20"/>
        </w:rPr>
        <w:t xml:space="preserve"> population</w:t>
      </w:r>
      <w:r w:rsidRPr="008610FD" w:rsidR="00146D6E">
        <w:rPr>
          <w:szCs w:val="20"/>
        </w:rPr>
        <w:t>s’</w:t>
      </w:r>
      <w:r w:rsidRPr="008610FD">
        <w:rPr>
          <w:szCs w:val="20"/>
        </w:rPr>
        <w:t xml:space="preserve"> and</w:t>
      </w:r>
      <w:r w:rsidRPr="008610FD" w:rsidR="00064595">
        <w:rPr>
          <w:szCs w:val="20"/>
        </w:rPr>
        <w:t xml:space="preserve"> </w:t>
      </w:r>
      <w:r w:rsidRPr="008610FD">
        <w:rPr>
          <w:szCs w:val="20"/>
        </w:rPr>
        <w:t xml:space="preserve">the health needs of the community were more accurately understood. This </w:t>
      </w:r>
      <w:r w:rsidRPr="008610FD" w:rsidR="00064595">
        <w:rPr>
          <w:szCs w:val="20"/>
        </w:rPr>
        <w:t xml:space="preserve">was an </w:t>
      </w:r>
      <w:r w:rsidRPr="008610FD">
        <w:rPr>
          <w:szCs w:val="20"/>
        </w:rPr>
        <w:t>important</w:t>
      </w:r>
      <w:r w:rsidRPr="008610FD" w:rsidR="00064595">
        <w:rPr>
          <w:szCs w:val="20"/>
        </w:rPr>
        <w:t xml:space="preserve"> development</w:t>
      </w:r>
      <w:r w:rsidRPr="008610FD">
        <w:rPr>
          <w:szCs w:val="20"/>
        </w:rPr>
        <w:t xml:space="preserve"> </w:t>
      </w:r>
      <w:r w:rsidRPr="008610FD" w:rsidR="00064595">
        <w:rPr>
          <w:szCs w:val="20"/>
        </w:rPr>
        <w:t xml:space="preserve">to </w:t>
      </w:r>
      <w:r w:rsidRPr="008610FD" w:rsidR="006E0773">
        <w:rPr>
          <w:szCs w:val="20"/>
        </w:rPr>
        <w:t xml:space="preserve">support the understanding of the patient population </w:t>
      </w:r>
      <w:r w:rsidRPr="008610FD">
        <w:rPr>
          <w:szCs w:val="20"/>
        </w:rPr>
        <w:t>as a result of</w:t>
      </w:r>
      <w:r>
        <w:rPr>
          <w:rFonts w:cs="Arial"/>
          <w:color w:val="202124"/>
          <w:szCs w:val="24"/>
          <w:shd w:val="clear" w:color="auto" w:fill="FFFFFF"/>
        </w:rPr>
        <w:t xml:space="preserve"> the new integrated care system</w:t>
      </w:r>
      <w:r w:rsidR="006E0773">
        <w:rPr>
          <w:rFonts w:cs="Arial"/>
          <w:color w:val="202124"/>
          <w:szCs w:val="24"/>
          <w:shd w:val="clear" w:color="auto" w:fill="FFFFFF"/>
        </w:rPr>
        <w:t>s</w:t>
      </w:r>
      <w:r>
        <w:rPr>
          <w:rFonts w:cs="Arial"/>
          <w:color w:val="202124"/>
          <w:szCs w:val="24"/>
          <w:shd w:val="clear" w:color="auto" w:fill="FFFFFF"/>
        </w:rPr>
        <w:t>.</w:t>
      </w:r>
      <w:r>
        <w:rPr>
          <w:rFonts w:cs="Arial"/>
          <w:color w:val="202124"/>
          <w:szCs w:val="24"/>
          <w:shd w:val="clear" w:color="auto" w:fill="FFFFFF"/>
          <w:vertAlign w:val="superscript"/>
        </w:rPr>
        <w:t>7</w:t>
      </w:r>
      <w:r>
        <w:rPr>
          <w:rFonts w:cs="Arial"/>
          <w:color w:val="202124"/>
          <w:szCs w:val="24"/>
          <w:shd w:val="clear" w:color="auto" w:fill="FFFFFF"/>
        </w:rPr>
        <w:t xml:space="preserve"> </w:t>
      </w:r>
    </w:p>
    <w:p w:rsidRPr="00246E28" w:rsidR="0089037E" w:rsidP="0089037E" w:rsidRDefault="0089037E" w14:paraId="2A1DD6B9" w14:textId="78866568">
      <w:pPr>
        <w:spacing w:line="276" w:lineRule="auto"/>
        <w:rPr>
          <w:szCs w:val="20"/>
        </w:rPr>
      </w:pPr>
      <w:r>
        <w:rPr>
          <w:szCs w:val="20"/>
        </w:rPr>
        <w:t>Similarly, a</w:t>
      </w:r>
      <w:r w:rsidRPr="00EF4BE4">
        <w:rPr>
          <w:szCs w:val="20"/>
        </w:rPr>
        <w:t xml:space="preserve"> data-driven approach</w:t>
      </w:r>
      <w:r w:rsidR="00F72412">
        <w:rPr>
          <w:szCs w:val="20"/>
        </w:rPr>
        <w:t xml:space="preserve"> </w:t>
      </w:r>
      <w:r w:rsidR="00A16878">
        <w:rPr>
          <w:szCs w:val="20"/>
        </w:rPr>
        <w:t xml:space="preserve">was used </w:t>
      </w:r>
      <w:r w:rsidRPr="00EF4BE4" w:rsidDel="00F72412">
        <w:rPr>
          <w:szCs w:val="20"/>
        </w:rPr>
        <w:t>to</w:t>
      </w:r>
      <w:r w:rsidRPr="00EF4BE4">
        <w:rPr>
          <w:szCs w:val="20"/>
        </w:rPr>
        <w:t xml:space="preserve"> </w:t>
      </w:r>
      <w:r>
        <w:rPr>
          <w:b/>
          <w:bCs/>
          <w:szCs w:val="20"/>
        </w:rPr>
        <w:t>identify those facing health inequalities</w:t>
      </w:r>
      <w:r w:rsidR="006E0773">
        <w:rPr>
          <w:b/>
          <w:bCs/>
          <w:szCs w:val="20"/>
        </w:rPr>
        <w:t xml:space="preserve"> </w:t>
      </w:r>
      <w:r w:rsidR="004A24D5">
        <w:rPr>
          <w:b/>
          <w:bCs/>
          <w:szCs w:val="20"/>
        </w:rPr>
        <w:t>by looking at</w:t>
      </w:r>
      <w:r>
        <w:rPr>
          <w:b/>
          <w:bCs/>
          <w:szCs w:val="20"/>
        </w:rPr>
        <w:t xml:space="preserve"> how people use services</w:t>
      </w:r>
      <w:r w:rsidR="007D7B14">
        <w:rPr>
          <w:b/>
          <w:bCs/>
          <w:szCs w:val="20"/>
        </w:rPr>
        <w:t xml:space="preserve"> </w:t>
      </w:r>
      <w:r w:rsidRPr="008610FD" w:rsidR="007D7B14">
        <w:rPr>
          <w:szCs w:val="20"/>
        </w:rPr>
        <w:t>in South Wales Valleys</w:t>
      </w:r>
      <w:r w:rsidRPr="008610FD">
        <w:rPr>
          <w:szCs w:val="20"/>
        </w:rPr>
        <w:t>.</w:t>
      </w:r>
      <w:r w:rsidRPr="00EF4BE4">
        <w:rPr>
          <w:szCs w:val="20"/>
        </w:rPr>
        <w:t xml:space="preserve"> </w:t>
      </w:r>
      <w:r w:rsidR="00073573">
        <w:rPr>
          <w:szCs w:val="20"/>
        </w:rPr>
        <w:t>R</w:t>
      </w:r>
      <w:r w:rsidRPr="0089037E">
        <w:rPr>
          <w:szCs w:val="20"/>
        </w:rPr>
        <w:t>esearchers from the University of Plymouth</w:t>
      </w:r>
      <w:r w:rsidR="004A24D5">
        <w:rPr>
          <w:szCs w:val="20"/>
        </w:rPr>
        <w:t xml:space="preserve"> used ‘cluster analysis’ to</w:t>
      </w:r>
      <w:r w:rsidRPr="0089037E">
        <w:rPr>
          <w:szCs w:val="20"/>
        </w:rPr>
        <w:t xml:space="preserve"> group together people with distinct healthcare needs based on variables such as elective impatient admissions and Emergency Department visits</w:t>
      </w:r>
      <w:r w:rsidRPr="0089037E">
        <w:rPr>
          <w:szCs w:val="20"/>
          <w:vertAlign w:val="superscript"/>
        </w:rPr>
        <w:t>8</w:t>
      </w:r>
      <w:r w:rsidR="00AF10D4">
        <w:rPr>
          <w:szCs w:val="20"/>
        </w:rPr>
        <w:t xml:space="preserve">, and identified </w:t>
      </w:r>
      <w:r w:rsidRPr="0089037E">
        <w:rPr>
          <w:szCs w:val="20"/>
        </w:rPr>
        <w:t xml:space="preserve">10 population segments. This information </w:t>
      </w:r>
      <w:r w:rsidRPr="0089037E" w:rsidR="00C67C0E">
        <w:rPr>
          <w:szCs w:val="20"/>
        </w:rPr>
        <w:t>c</w:t>
      </w:r>
      <w:r w:rsidR="00C67C0E">
        <w:rPr>
          <w:szCs w:val="20"/>
        </w:rPr>
        <w:t>ould then</w:t>
      </w:r>
      <w:r w:rsidRPr="0089037E" w:rsidR="00C67C0E">
        <w:rPr>
          <w:szCs w:val="20"/>
        </w:rPr>
        <w:t xml:space="preserve"> </w:t>
      </w:r>
      <w:r w:rsidRPr="0089037E">
        <w:rPr>
          <w:szCs w:val="20"/>
        </w:rPr>
        <w:t xml:space="preserve">be used to inform decisions around local service planning such as tailoring of integrated health and care services for each population segment, particularly those that have complex needs. </w:t>
      </w:r>
    </w:p>
    <w:p w:rsidRPr="00C320DA" w:rsidR="0089037E" w:rsidP="0089037E" w:rsidRDefault="0089037E" w14:paraId="55C345BB" w14:textId="77777777">
      <w:pPr>
        <w:spacing w:line="276" w:lineRule="auto"/>
        <w:rPr>
          <w:i/>
          <w:iCs/>
          <w:szCs w:val="20"/>
        </w:rPr>
      </w:pPr>
      <w:r w:rsidRPr="00246E28">
        <w:rPr>
          <w:i/>
          <w:iCs/>
          <w:szCs w:val="20"/>
        </w:rPr>
        <w:t>Combining health data</w:t>
      </w:r>
      <w:r w:rsidRPr="00C320DA">
        <w:rPr>
          <w:i/>
          <w:iCs/>
          <w:szCs w:val="20"/>
        </w:rPr>
        <w:t xml:space="preserve"> with wider determinants</w:t>
      </w:r>
    </w:p>
    <w:p w:rsidR="00407F08" w:rsidP="0089037E" w:rsidRDefault="0089037E" w14:paraId="4B3BD40A" w14:textId="23A2D480">
      <w:pPr>
        <w:spacing w:line="276" w:lineRule="auto"/>
        <w:rPr>
          <w:szCs w:val="20"/>
        </w:rPr>
      </w:pPr>
      <w:r w:rsidRPr="00C320DA">
        <w:rPr>
          <w:szCs w:val="20"/>
        </w:rPr>
        <w:t>Using data related to the wider determinants of health</w:t>
      </w:r>
      <w:r w:rsidR="00C4132D">
        <w:rPr>
          <w:szCs w:val="20"/>
        </w:rPr>
        <w:t xml:space="preserve"> (such as</w:t>
      </w:r>
      <w:r w:rsidR="00D23187">
        <w:rPr>
          <w:szCs w:val="20"/>
        </w:rPr>
        <w:t xml:space="preserve"> e.g.,</w:t>
      </w:r>
      <w:r w:rsidR="00C4132D">
        <w:rPr>
          <w:szCs w:val="20"/>
        </w:rPr>
        <w:t xml:space="preserve"> </w:t>
      </w:r>
      <w:r w:rsidR="00372545">
        <w:rPr>
          <w:szCs w:val="20"/>
        </w:rPr>
        <w:t xml:space="preserve">housing, transport, </w:t>
      </w:r>
      <w:r w:rsidR="00D23187">
        <w:rPr>
          <w:szCs w:val="20"/>
        </w:rPr>
        <w:t>environmental</w:t>
      </w:r>
      <w:r w:rsidR="00C4132D">
        <w:rPr>
          <w:szCs w:val="20"/>
        </w:rPr>
        <w:t>)</w:t>
      </w:r>
      <w:r w:rsidRPr="00C320DA">
        <w:rPr>
          <w:szCs w:val="20"/>
        </w:rPr>
        <w:t xml:space="preserve"> was a relatively common approach adopted within the literature for the identification of health inequalities. </w:t>
      </w:r>
      <w:r w:rsidR="00C4132D">
        <w:rPr>
          <w:szCs w:val="20"/>
        </w:rPr>
        <w:t>This is because h</w:t>
      </w:r>
      <w:r w:rsidRPr="00C320DA" w:rsidR="00C4132D">
        <w:rPr>
          <w:szCs w:val="20"/>
        </w:rPr>
        <w:t>ealth inequalities are highly interlinked with the physical, social</w:t>
      </w:r>
      <w:r w:rsidR="00C4132D">
        <w:rPr>
          <w:szCs w:val="20"/>
        </w:rPr>
        <w:t>,</w:t>
      </w:r>
      <w:r w:rsidRPr="00C320DA" w:rsidR="00C4132D">
        <w:rPr>
          <w:szCs w:val="20"/>
        </w:rPr>
        <w:t xml:space="preserve"> and environmental factors faced by a local area. </w:t>
      </w:r>
    </w:p>
    <w:p w:rsidRPr="00C320DA" w:rsidR="0089037E" w:rsidP="0089037E" w:rsidRDefault="0089037E" w14:paraId="3F56FE8F" w14:textId="693C5954">
      <w:pPr>
        <w:spacing w:line="276" w:lineRule="auto"/>
        <w:rPr>
          <w:szCs w:val="20"/>
        </w:rPr>
      </w:pPr>
      <w:r w:rsidRPr="00C320DA">
        <w:rPr>
          <w:szCs w:val="20"/>
        </w:rPr>
        <w:t>Examples of methods include:</w:t>
      </w:r>
    </w:p>
    <w:p w:rsidRPr="0089037E" w:rsidR="0089037E" w:rsidP="0089037E" w:rsidRDefault="0089037E" w14:paraId="077095CF" w14:textId="12BC3CB0">
      <w:pPr>
        <w:spacing w:line="276" w:lineRule="auto"/>
        <w:rPr>
          <w:szCs w:val="20"/>
        </w:rPr>
      </w:pPr>
      <w:r w:rsidRPr="00C320DA">
        <w:rPr>
          <w:szCs w:val="20"/>
        </w:rPr>
        <w:t xml:space="preserve">Using secondary data and </w:t>
      </w:r>
      <w:r w:rsidRPr="00C320DA">
        <w:rPr>
          <w:b/>
          <w:bCs/>
          <w:szCs w:val="20"/>
        </w:rPr>
        <w:t>Statistical Control Charts</w:t>
      </w:r>
      <w:r w:rsidRPr="00C320DA">
        <w:rPr>
          <w:szCs w:val="20"/>
        </w:rPr>
        <w:t xml:space="preserve"> to analyse physical and social environments (eg nuisance</w:t>
      </w:r>
      <w:r w:rsidRPr="00113733">
        <w:rPr>
          <w:szCs w:val="20"/>
        </w:rPr>
        <w:t xml:space="preserve"> </w:t>
      </w:r>
      <w:r w:rsidR="00CD2A86">
        <w:rPr>
          <w:szCs w:val="20"/>
        </w:rPr>
        <w:t>complaints</w:t>
      </w:r>
      <w:r w:rsidRPr="00113733">
        <w:rPr>
          <w:szCs w:val="20"/>
        </w:rPr>
        <w:t xml:space="preserve">) to routinely monitor the relationship between </w:t>
      </w:r>
      <w:r w:rsidRPr="0089037E">
        <w:rPr>
          <w:szCs w:val="20"/>
        </w:rPr>
        <w:t>hazards and disease and to address local health issues.</w:t>
      </w:r>
      <w:r w:rsidRPr="0089037E">
        <w:rPr>
          <w:szCs w:val="20"/>
          <w:vertAlign w:val="superscript"/>
        </w:rPr>
        <w:t>9</w:t>
      </w:r>
      <w:r w:rsidRPr="0089037E">
        <w:rPr>
          <w:rFonts w:cs="Arial"/>
          <w:szCs w:val="24"/>
          <w:shd w:val="clear" w:color="auto" w:fill="FFFFFF"/>
        </w:rPr>
        <w:t xml:space="preserve"> A pilot project conducted in a Birmingham housing estate identified environmental and social aspects of the area, such as anti-social behaviour, that needed further investigation as they were far worse than the City average.</w:t>
      </w:r>
      <w:r w:rsidRPr="0089037E">
        <w:rPr>
          <w:rFonts w:cs="Arial"/>
          <w:szCs w:val="24"/>
          <w:shd w:val="clear" w:color="auto" w:fill="FFFFFF"/>
          <w:vertAlign w:val="superscript"/>
        </w:rPr>
        <w:t>9</w:t>
      </w:r>
      <w:r w:rsidRPr="0089037E">
        <w:rPr>
          <w:rFonts w:cs="Arial"/>
          <w:szCs w:val="24"/>
          <w:shd w:val="clear" w:color="auto" w:fill="FFFFFF"/>
        </w:rPr>
        <w:t xml:space="preserve"> This type of analysis could allow local government to better </w:t>
      </w:r>
      <w:r w:rsidR="00C91723">
        <w:rPr>
          <w:rFonts w:cs="Arial"/>
          <w:szCs w:val="24"/>
          <w:shd w:val="clear" w:color="auto" w:fill="FFFFFF"/>
        </w:rPr>
        <w:t xml:space="preserve">identify ways to address </w:t>
      </w:r>
      <w:r w:rsidRPr="0089037E">
        <w:rPr>
          <w:rFonts w:cs="Arial"/>
          <w:szCs w:val="24"/>
          <w:shd w:val="clear" w:color="auto" w:fill="FFFFFF"/>
        </w:rPr>
        <w:t xml:space="preserve">environmental and social problems that are associated with </w:t>
      </w:r>
      <w:r w:rsidR="00D52E19">
        <w:rPr>
          <w:rFonts w:cs="Arial"/>
          <w:szCs w:val="24"/>
          <w:shd w:val="clear" w:color="auto" w:fill="FFFFFF"/>
        </w:rPr>
        <w:t>poor</w:t>
      </w:r>
      <w:r w:rsidRPr="0089037E" w:rsidR="00D52E19">
        <w:rPr>
          <w:rFonts w:cs="Arial"/>
          <w:szCs w:val="24"/>
          <w:shd w:val="clear" w:color="auto" w:fill="FFFFFF"/>
        </w:rPr>
        <w:t xml:space="preserve"> </w:t>
      </w:r>
      <w:r w:rsidRPr="0089037E">
        <w:rPr>
          <w:rFonts w:cs="Arial"/>
          <w:szCs w:val="24"/>
          <w:shd w:val="clear" w:color="auto" w:fill="FFFFFF"/>
        </w:rPr>
        <w:t xml:space="preserve">public health outcomes. </w:t>
      </w:r>
    </w:p>
    <w:p w:rsidRPr="0089037E" w:rsidR="0089037E" w:rsidP="0089037E" w:rsidRDefault="0089037E" w14:paraId="052FE238" w14:textId="7F24F438">
      <w:pPr>
        <w:spacing w:line="276" w:lineRule="auto"/>
        <w:rPr>
          <w:szCs w:val="20"/>
        </w:rPr>
      </w:pPr>
      <w:r w:rsidRPr="0089037E">
        <w:rPr>
          <w:szCs w:val="20"/>
        </w:rPr>
        <w:t>Another example is the</w:t>
      </w:r>
      <w:r w:rsidRPr="0089037E">
        <w:rPr>
          <w:b/>
          <w:bCs/>
          <w:szCs w:val="20"/>
        </w:rPr>
        <w:t xml:space="preserve"> Relative Index of Inequalities</w:t>
      </w:r>
      <w:r w:rsidRPr="0089037E">
        <w:rPr>
          <w:szCs w:val="20"/>
        </w:rPr>
        <w:t xml:space="preserve"> (RII). The Strategy Unit used the RII in their report for the British Heart Foundation on economic inequalities in the progression and pathways of coronary heart disease.</w:t>
      </w:r>
      <w:r w:rsidRPr="0089037E">
        <w:rPr>
          <w:szCs w:val="20"/>
          <w:vertAlign w:val="superscript"/>
        </w:rPr>
        <w:t>11</w:t>
      </w:r>
      <w:r w:rsidRPr="0089037E">
        <w:rPr>
          <w:szCs w:val="20"/>
        </w:rPr>
        <w:t>. The calculation for determining the RII is: the extent to which the rate of an activity or event varies across socio-economic groups defined by deciles of deprivation. The factors used to calculate deciles of deprivation include crime, barriers to housing and services</w:t>
      </w:r>
      <w:r w:rsidR="000F0090">
        <w:rPr>
          <w:szCs w:val="20"/>
        </w:rPr>
        <w:t>,</w:t>
      </w:r>
      <w:r w:rsidRPr="0089037E">
        <w:rPr>
          <w:szCs w:val="20"/>
        </w:rPr>
        <w:t xml:space="preserve"> and living environment.</w:t>
      </w:r>
      <w:r w:rsidRPr="00C91723">
        <w:rPr>
          <w:szCs w:val="20"/>
          <w:vertAlign w:val="superscript"/>
        </w:rPr>
        <w:t>11</w:t>
      </w:r>
      <w:r w:rsidRPr="0089037E">
        <w:rPr>
          <w:szCs w:val="20"/>
        </w:rPr>
        <w:t xml:space="preserve"> </w:t>
      </w:r>
      <w:r w:rsidRPr="008610FD" w:rsidR="00C91723">
        <w:rPr>
          <w:szCs w:val="20"/>
        </w:rPr>
        <w:t>A benefit of the RII approach is that it takes into account the values for all deprivation deciles, as well as the population size of each group. This means that smaller groups do not unduly skew the results when looking at inequalities across a populatio</w:t>
      </w:r>
      <w:r w:rsidR="00017874">
        <w:rPr>
          <w:szCs w:val="20"/>
        </w:rPr>
        <w:t>n</w:t>
      </w:r>
      <w:r w:rsidRPr="0089037E">
        <w:rPr>
          <w:szCs w:val="20"/>
        </w:rPr>
        <w:t>.</w:t>
      </w:r>
      <w:r w:rsidRPr="0089037E">
        <w:rPr>
          <w:szCs w:val="20"/>
          <w:vertAlign w:val="superscript"/>
        </w:rPr>
        <w:t>11</w:t>
      </w:r>
    </w:p>
    <w:p w:rsidR="0089037E" w:rsidP="0089037E" w:rsidRDefault="0089037E" w14:paraId="190644C7" w14:textId="2678C68D">
      <w:pPr>
        <w:spacing w:line="276" w:lineRule="auto"/>
      </w:pPr>
      <w:r w:rsidRPr="0089037E">
        <w:rPr>
          <w:b/>
          <w:bCs/>
        </w:rPr>
        <w:t>Net migration and residential mobility</w:t>
      </w:r>
      <w:r w:rsidRPr="0089037E">
        <w:t xml:space="preserve"> were identified within the literature as measures that can be used to identify local health inequalities. </w:t>
      </w:r>
      <w:r w:rsidR="0069709F">
        <w:t>O</w:t>
      </w:r>
      <w:r w:rsidRPr="0089037E">
        <w:t xml:space="preserve">pen access area-level data on migration </w:t>
      </w:r>
      <w:r w:rsidR="0069709F">
        <w:t xml:space="preserve">has shown that </w:t>
      </w:r>
      <w:r w:rsidRPr="0089037E">
        <w:t>areas differ in their rates of net migration among people in good health and</w:t>
      </w:r>
      <w:r w:rsidR="000D2251">
        <w:t xml:space="preserve"> people</w:t>
      </w:r>
      <w:r w:rsidRPr="0089037E">
        <w:t xml:space="preserve"> in poor health</w:t>
      </w:r>
      <w:r w:rsidRPr="0089037E">
        <w:rPr>
          <w:vertAlign w:val="superscript"/>
        </w:rPr>
        <w:t>12</w:t>
      </w:r>
      <w:r w:rsidR="0069709F">
        <w:t xml:space="preserve">. </w:t>
      </w:r>
      <w:r w:rsidRPr="0089037E">
        <w:t>For instance, areas that had a high net migration of young people also had a high net migration of healthy people, whereas, areas with a high net migration of old people tended to have a high net migration of people in poor health.</w:t>
      </w:r>
      <w:r w:rsidR="00F6043A">
        <w:t xml:space="preserve"> Understanding these trends </w:t>
      </w:r>
      <w:r w:rsidR="0015683F">
        <w:t xml:space="preserve">can help areas understand </w:t>
      </w:r>
      <w:r w:rsidR="0064174D">
        <w:t xml:space="preserve">the needs of a local area population, and </w:t>
      </w:r>
      <w:r w:rsidR="004104E8">
        <w:t xml:space="preserve">prepare for </w:t>
      </w:r>
      <w:r w:rsidR="0064174D">
        <w:t>how these could change over time.</w:t>
      </w:r>
    </w:p>
    <w:p w:rsidR="0089037E" w:rsidP="0089037E" w:rsidRDefault="0089037E" w14:paraId="2089563E" w14:textId="77777777">
      <w:pPr>
        <w:spacing w:line="276" w:lineRule="auto"/>
        <w:rPr>
          <w:i/>
          <w:iCs/>
        </w:rPr>
      </w:pPr>
      <w:r w:rsidRPr="00246E28">
        <w:rPr>
          <w:i/>
          <w:iCs/>
        </w:rPr>
        <w:t>Using experiential or qualitative data to understand experiences</w:t>
      </w:r>
    </w:p>
    <w:p w:rsidRPr="00FB2EF3" w:rsidR="0089037E" w:rsidP="0089037E" w:rsidRDefault="0089037E" w14:paraId="4FBE5B18" w14:textId="0D3B8C6B">
      <w:pPr>
        <w:spacing w:line="276" w:lineRule="auto"/>
      </w:pPr>
      <w:r>
        <w:t xml:space="preserve">In addition, there </w:t>
      </w:r>
      <w:r w:rsidR="0069709F">
        <w:t xml:space="preserve">is </w:t>
      </w:r>
      <w:r>
        <w:t xml:space="preserve">a wide range of more </w:t>
      </w:r>
      <w:r w:rsidR="00C91723">
        <w:t xml:space="preserve">experiential </w:t>
      </w:r>
      <w:r>
        <w:t xml:space="preserve">or qualitative methods that can be used to identify health inequalities. </w:t>
      </w:r>
    </w:p>
    <w:p w:rsidRPr="00FB2EF3" w:rsidR="0089037E" w:rsidP="0089037E" w:rsidRDefault="0089037E" w14:paraId="54B98800" w14:textId="0FFD4CD3">
      <w:pPr>
        <w:rPr>
          <w:szCs w:val="20"/>
        </w:rPr>
      </w:pPr>
      <w:r>
        <w:t>Within the literature, a</w:t>
      </w:r>
      <w:r w:rsidRPr="00FB2EF3">
        <w:rPr>
          <w:szCs w:val="20"/>
        </w:rPr>
        <w:t xml:space="preserve"> </w:t>
      </w:r>
      <w:r w:rsidRPr="00FB2EF3">
        <w:rPr>
          <w:b/>
          <w:bCs/>
          <w:szCs w:val="20"/>
        </w:rPr>
        <w:t>systems thinking approach</w:t>
      </w:r>
      <w:r w:rsidRPr="00FB2EF3">
        <w:rPr>
          <w:szCs w:val="20"/>
        </w:rPr>
        <w:t xml:space="preserve"> </w:t>
      </w:r>
      <w:r>
        <w:rPr>
          <w:szCs w:val="20"/>
        </w:rPr>
        <w:t>was identified</w:t>
      </w:r>
      <w:r w:rsidR="00950138">
        <w:rPr>
          <w:szCs w:val="20"/>
        </w:rPr>
        <w:t>. This is where an approach to problem-solving looks to under</w:t>
      </w:r>
      <w:r w:rsidR="007C13CD">
        <w:rPr>
          <w:szCs w:val="20"/>
        </w:rPr>
        <w:t>standing</w:t>
      </w:r>
      <w:r w:rsidR="00950138">
        <w:rPr>
          <w:szCs w:val="20"/>
        </w:rPr>
        <w:t xml:space="preserve"> the system</w:t>
      </w:r>
      <w:r w:rsidR="00C574F3">
        <w:rPr>
          <w:szCs w:val="20"/>
        </w:rPr>
        <w:t xml:space="preserve"> within which the problem occurs, rather than at the specific </w:t>
      </w:r>
      <w:r w:rsidR="005D7A4B">
        <w:rPr>
          <w:szCs w:val="20"/>
        </w:rPr>
        <w:t>incidence of the problem</w:t>
      </w:r>
      <w:r w:rsidR="00A6128C">
        <w:rPr>
          <w:szCs w:val="20"/>
        </w:rPr>
        <w:t xml:space="preserve">, to avoid </w:t>
      </w:r>
      <w:r w:rsidR="002B1634">
        <w:rPr>
          <w:szCs w:val="20"/>
        </w:rPr>
        <w:t>looking at some challenges as discrete to one group or one cause</w:t>
      </w:r>
      <w:r w:rsidR="007C13CD">
        <w:rPr>
          <w:szCs w:val="20"/>
        </w:rPr>
        <w:t xml:space="preserve">. </w:t>
      </w:r>
      <w:r>
        <w:rPr>
          <w:szCs w:val="20"/>
        </w:rPr>
        <w:t xml:space="preserve">Academics from the University of Bristol and the University of Sheffield used this method to </w:t>
      </w:r>
      <w:r w:rsidRPr="00FB2EF3">
        <w:rPr>
          <w:szCs w:val="20"/>
        </w:rPr>
        <w:t>explore commonalities between two area-specific system maps (</w:t>
      </w:r>
      <w:r>
        <w:rPr>
          <w:szCs w:val="20"/>
        </w:rPr>
        <w:t xml:space="preserve">while removing </w:t>
      </w:r>
      <w:r w:rsidRPr="00FB2EF3">
        <w:rPr>
          <w:szCs w:val="20"/>
        </w:rPr>
        <w:t>locality-specific factors) to develop a map of the determinants of child health inequalities that could be applied in any English local area.</w:t>
      </w:r>
      <w:r w:rsidRPr="00FB2EF3">
        <w:rPr>
          <w:szCs w:val="20"/>
          <w:vertAlign w:val="superscript"/>
        </w:rPr>
        <w:t>10</w:t>
      </w:r>
      <w:r w:rsidRPr="00FB2EF3">
        <w:rPr>
          <w:szCs w:val="20"/>
        </w:rPr>
        <w:t xml:space="preserve"> </w:t>
      </w:r>
      <w:r>
        <w:rPr>
          <w:szCs w:val="20"/>
        </w:rPr>
        <w:t>From this, they identified 125 factors across 6 domains that were determinants of child health inequalities as well as 300 links between individual factors</w:t>
      </w:r>
      <w:r>
        <w:rPr>
          <w:szCs w:val="20"/>
          <w:vertAlign w:val="superscript"/>
        </w:rPr>
        <w:t>10</w:t>
      </w:r>
      <w:r w:rsidR="00007515">
        <w:rPr>
          <w:szCs w:val="20"/>
        </w:rPr>
        <w:t xml:space="preserve">. </w:t>
      </w:r>
      <w:r w:rsidR="006B4035">
        <w:rPr>
          <w:szCs w:val="20"/>
        </w:rPr>
        <w:t>Evidence of outcomes is limited but potential applications of systems thinking approaches has particular importance to the development of collaborative equity-orientated practice across ICSs.</w:t>
      </w:r>
    </w:p>
    <w:p w:rsidRPr="0089037E" w:rsidR="0089037E" w:rsidP="0089037E" w:rsidRDefault="0089037E" w14:paraId="507A6BBF" w14:textId="03277B2F">
      <w:pPr>
        <w:rPr>
          <w:b/>
          <w:bCs/>
        </w:rPr>
      </w:pPr>
      <w:r w:rsidRPr="0089037E">
        <w:rPr>
          <w:b/>
          <w:bCs/>
        </w:rPr>
        <w:t>The considerations for local areas when determining what methods to use to identify health inequalities</w:t>
      </w:r>
    </w:p>
    <w:p w:rsidRPr="0089037E" w:rsidR="0089037E" w:rsidP="0089037E" w:rsidRDefault="0089037E" w14:paraId="03846CE9" w14:textId="42D1A563">
      <w:r w:rsidRPr="0089037E">
        <w:t>Throughout the literature, a number of considerations were identified which may help to determine what methods a local area may want to use in the identification of health inequalities. These include:</w:t>
      </w:r>
    </w:p>
    <w:p w:rsidRPr="0089037E" w:rsidR="0089037E" w:rsidP="0089037E" w:rsidRDefault="002505E9" w14:paraId="0A52D70D" w14:textId="72345997">
      <w:r>
        <w:rPr>
          <w:b/>
          <w:bCs/>
        </w:rPr>
        <w:t xml:space="preserve">Whether or not </w:t>
      </w:r>
      <w:r w:rsidRPr="0089037E" w:rsidR="0089037E">
        <w:rPr>
          <w:b/>
          <w:bCs/>
        </w:rPr>
        <w:t xml:space="preserve">specific areas of health inequalities </w:t>
      </w:r>
      <w:r>
        <w:rPr>
          <w:b/>
          <w:bCs/>
        </w:rPr>
        <w:t xml:space="preserve">have </w:t>
      </w:r>
      <w:r w:rsidRPr="0089037E" w:rsidR="0089037E">
        <w:rPr>
          <w:b/>
          <w:bCs/>
        </w:rPr>
        <w:t>been identified:</w:t>
      </w:r>
      <w:r w:rsidRPr="0089037E" w:rsidR="0089037E">
        <w:t xml:space="preserve"> </w:t>
      </w:r>
      <w:r>
        <w:t>Much</w:t>
      </w:r>
      <w:r w:rsidR="00915914">
        <w:t xml:space="preserve"> of the literature</w:t>
      </w:r>
      <w:r w:rsidRPr="0089037E" w:rsidR="0089037E">
        <w:t xml:space="preserve"> focus</w:t>
      </w:r>
      <w:r w:rsidR="00915914">
        <w:t>es</w:t>
      </w:r>
      <w:r w:rsidRPr="0089037E" w:rsidR="0089037E">
        <w:t xml:space="preserve"> on health inequalities as a public health issue</w:t>
      </w:r>
      <w:r w:rsidRPr="0089037E" w:rsidR="0089037E">
        <w:rPr>
          <w:vertAlign w:val="superscript"/>
        </w:rPr>
        <w:t>7,8,12</w:t>
      </w:r>
      <w:r w:rsidRPr="0089037E" w:rsidR="0089037E">
        <w:t xml:space="preserve"> (e.g. general mental or physical health)</w:t>
      </w:r>
      <w:r w:rsidR="00320573">
        <w:t xml:space="preserve"> </w:t>
      </w:r>
      <w:r w:rsidR="00915914">
        <w:t>with some consideration of</w:t>
      </w:r>
      <w:r w:rsidRPr="0089037E" w:rsidR="0089037E">
        <w:t xml:space="preserve"> specific areas, such as children’s health</w:t>
      </w:r>
      <w:r w:rsidRPr="0089037E" w:rsidR="0089037E">
        <w:rPr>
          <w:vertAlign w:val="superscript"/>
        </w:rPr>
        <w:t>10</w:t>
      </w:r>
      <w:r w:rsidRPr="0089037E" w:rsidR="0089037E">
        <w:t xml:space="preserve"> and</w:t>
      </w:r>
      <w:r w:rsidR="007C2707">
        <w:t xml:space="preserve"> Coronary Heart Disease</w:t>
      </w:r>
      <w:r w:rsidRPr="0089037E" w:rsidR="0089037E">
        <w:t xml:space="preserve"> </w:t>
      </w:r>
      <w:r w:rsidR="007C2707">
        <w:t>(</w:t>
      </w:r>
      <w:r w:rsidRPr="0089037E" w:rsidR="0089037E">
        <w:t>CHD</w:t>
      </w:r>
      <w:r w:rsidR="007C2707">
        <w:t>)</w:t>
      </w:r>
      <w:r w:rsidRPr="0089037E" w:rsidR="0089037E">
        <w:t xml:space="preserve"> pathway</w:t>
      </w:r>
      <w:r w:rsidR="00915914">
        <w:t>s</w:t>
      </w:r>
      <w:r w:rsidRPr="0089037E" w:rsidR="0089037E">
        <w:rPr>
          <w:vertAlign w:val="superscript"/>
        </w:rPr>
        <w:t>11</w:t>
      </w:r>
      <w:r w:rsidRPr="0089037E" w:rsidR="0089037E">
        <w:t xml:space="preserve">. </w:t>
      </w:r>
      <w:r w:rsidR="00915914">
        <w:t>M</w:t>
      </w:r>
      <w:r w:rsidRPr="0089037E" w:rsidR="0089037E">
        <w:t xml:space="preserve">ethods have often been tailored for specific locations and population groups and may require adjustments if replicated in different contexts. </w:t>
      </w:r>
    </w:p>
    <w:p w:rsidRPr="0089037E" w:rsidR="0089037E" w:rsidP="0089037E" w:rsidRDefault="00C91723" w14:paraId="2710CE3D" w14:textId="203931B9">
      <w:r>
        <w:rPr>
          <w:b/>
          <w:bCs/>
        </w:rPr>
        <w:t xml:space="preserve">Data </w:t>
      </w:r>
      <w:r w:rsidR="00214658">
        <w:rPr>
          <w:b/>
          <w:bCs/>
        </w:rPr>
        <w:t xml:space="preserve">associated with </w:t>
      </w:r>
      <w:r>
        <w:rPr>
          <w:b/>
          <w:bCs/>
        </w:rPr>
        <w:t>the w</w:t>
      </w:r>
      <w:r w:rsidRPr="0089037E" w:rsidR="0089037E">
        <w:rPr>
          <w:b/>
          <w:bCs/>
        </w:rPr>
        <w:t>ider determinants of health:</w:t>
      </w:r>
      <w:r w:rsidRPr="0089037E" w:rsidR="0089037E">
        <w:t xml:space="preserve"> </w:t>
      </w:r>
      <w:r>
        <w:t>these f</w:t>
      </w:r>
      <w:r w:rsidRPr="0089037E" w:rsidR="0089037E">
        <w:t xml:space="preserve">actors that can be used to identify </w:t>
      </w:r>
      <w:r w:rsidRPr="0089037E" w:rsidR="00915914">
        <w:t xml:space="preserve">health inequalities </w:t>
      </w:r>
      <w:r w:rsidRPr="0089037E" w:rsidR="0089037E">
        <w:t>and offer a broader perspective on the determinants of health</w:t>
      </w:r>
      <w:r w:rsidR="00915914">
        <w:t xml:space="preserve"> have </w:t>
      </w:r>
      <w:r w:rsidRPr="0089037E" w:rsidR="0089037E">
        <w:t>included air pollution</w:t>
      </w:r>
      <w:r w:rsidRPr="0089037E" w:rsidR="0089037E">
        <w:rPr>
          <w:vertAlign w:val="superscript"/>
        </w:rPr>
        <w:t>15</w:t>
      </w:r>
      <w:r w:rsidRPr="0089037E" w:rsidR="0089037E">
        <w:t>, housing tenure</w:t>
      </w:r>
      <w:r w:rsidRPr="0089037E" w:rsidR="0089037E">
        <w:rPr>
          <w:vertAlign w:val="superscript"/>
        </w:rPr>
        <w:t>13</w:t>
      </w:r>
      <w:r w:rsidRPr="0089037E" w:rsidR="0089037E">
        <w:t>, fuel poverty</w:t>
      </w:r>
      <w:r w:rsidRPr="0089037E" w:rsidR="0089037E">
        <w:rPr>
          <w:vertAlign w:val="superscript"/>
        </w:rPr>
        <w:t>14</w:t>
      </w:r>
      <w:r w:rsidRPr="0089037E" w:rsidR="0089037E">
        <w:t>, and community experience and hazards</w:t>
      </w:r>
      <w:r w:rsidRPr="0089037E" w:rsidR="0089037E">
        <w:rPr>
          <w:vertAlign w:val="superscript"/>
        </w:rPr>
        <w:t>9</w:t>
      </w:r>
      <w:r w:rsidRPr="0089037E" w:rsidR="0089037E">
        <w:t xml:space="preserve">. </w:t>
      </w:r>
      <w:r w:rsidR="00915914">
        <w:t>Existing s</w:t>
      </w:r>
      <w:r w:rsidRPr="0089037E" w:rsidR="0089037E">
        <w:t xml:space="preserve">tudies </w:t>
      </w:r>
      <w:r w:rsidR="00915914">
        <w:t xml:space="preserve">have </w:t>
      </w:r>
      <w:r w:rsidRPr="0089037E" w:rsidR="0089037E">
        <w:t xml:space="preserve">relied more on the combination of secondary and primary data (eg using approaches such as </w:t>
      </w:r>
      <w:r w:rsidR="00214658">
        <w:t>systems thinking</w:t>
      </w:r>
      <w:r w:rsidRPr="0089037E" w:rsidR="0089037E">
        <w:t>, through engaging with professionals, communities and experts in public health).</w:t>
      </w:r>
    </w:p>
    <w:p w:rsidRPr="000F3C5E" w:rsidR="0089037E" w:rsidP="0089037E" w:rsidRDefault="0089037E" w14:paraId="4AC4BCB2" w14:textId="43D55E90">
      <w:r w:rsidRPr="0089037E">
        <w:rPr>
          <w:b/>
          <w:bCs/>
        </w:rPr>
        <w:t>The availability of data:</w:t>
      </w:r>
      <w:r w:rsidRPr="0089037E">
        <w:t xml:space="preserve"> </w:t>
      </w:r>
      <w:r w:rsidR="00915914">
        <w:t>C</w:t>
      </w:r>
      <w:r w:rsidRPr="000F3C5E" w:rsidR="00915914">
        <w:t xml:space="preserve">hallenges </w:t>
      </w:r>
      <w:r w:rsidR="00915914">
        <w:t xml:space="preserve">are </w:t>
      </w:r>
      <w:r w:rsidRPr="000F3C5E" w:rsidR="00915914">
        <w:t>associated with data</w:t>
      </w:r>
      <w:r w:rsidR="00915914">
        <w:t xml:space="preserve"> availability and access, </w:t>
      </w:r>
      <w:r w:rsidRPr="000F3C5E" w:rsidR="00915914">
        <w:t xml:space="preserve">which constrain the robustness of </w:t>
      </w:r>
      <w:r w:rsidR="00915914">
        <w:t>methods which can be applied.</w:t>
      </w:r>
      <w:r w:rsidRPr="0089037E" w:rsidR="00915914">
        <w:t xml:space="preserve"> </w:t>
      </w:r>
      <w:r w:rsidRPr="0089037E">
        <w:t xml:space="preserve">The reliance on publicly available data </w:t>
      </w:r>
      <w:r w:rsidR="00915914">
        <w:t>is clear from the literature</w:t>
      </w:r>
      <w:r w:rsidRPr="0089037E">
        <w:t xml:space="preserve">, with </w:t>
      </w:r>
      <w:r w:rsidR="00915914">
        <w:t>limited use of</w:t>
      </w:r>
      <w:r w:rsidRPr="0089037E">
        <w:t xml:space="preserve"> patient record </w:t>
      </w:r>
      <w:r w:rsidR="00915914">
        <w:t>data</w:t>
      </w:r>
      <w:r w:rsidRPr="000F3C5E">
        <w:rPr>
          <w:vertAlign w:val="superscript"/>
        </w:rPr>
        <w:t>8</w:t>
      </w:r>
      <w:r w:rsidRPr="000F3C5E">
        <w:t>. Common sources of data were ONS</w:t>
      </w:r>
      <w:r w:rsidRPr="000F3C5E">
        <w:rPr>
          <w:vertAlign w:val="superscript"/>
        </w:rPr>
        <w:t>7,9,11,14</w:t>
      </w:r>
      <w:r w:rsidRPr="000F3C5E">
        <w:t>, HES</w:t>
      </w:r>
      <w:r w:rsidRPr="000F3C5E">
        <w:rPr>
          <w:vertAlign w:val="superscript"/>
        </w:rPr>
        <w:t xml:space="preserve">7,11 </w:t>
      </w:r>
      <w:r w:rsidRPr="000F3C5E">
        <w:t>and PHE</w:t>
      </w:r>
      <w:r w:rsidRPr="000F3C5E">
        <w:rPr>
          <w:vertAlign w:val="superscript"/>
        </w:rPr>
        <w:t>9</w:t>
      </w:r>
      <w:r>
        <w:t>, with l</w:t>
      </w:r>
      <w:r w:rsidRPr="000F3C5E">
        <w:t xml:space="preserve">ess common sources </w:t>
      </w:r>
      <w:r>
        <w:t xml:space="preserve">including </w:t>
      </w:r>
      <w:r w:rsidRPr="000F3C5E">
        <w:t>police and fire departments</w:t>
      </w:r>
      <w:r w:rsidRPr="000F3C5E">
        <w:rPr>
          <w:vertAlign w:val="superscript"/>
        </w:rPr>
        <w:t>9</w:t>
      </w:r>
      <w:r>
        <w:t xml:space="preserve"> and</w:t>
      </w:r>
      <w:r w:rsidRPr="000F3C5E">
        <w:t xml:space="preserve"> governmental departments </w:t>
      </w:r>
      <w:r>
        <w:t xml:space="preserve">(eg </w:t>
      </w:r>
      <w:r w:rsidRPr="000F3C5E">
        <w:t>Department of Education</w:t>
      </w:r>
      <w:r w:rsidRPr="000F3C5E">
        <w:rPr>
          <w:vertAlign w:val="superscript"/>
        </w:rPr>
        <w:t>9</w:t>
      </w:r>
      <w:r w:rsidRPr="000F3C5E">
        <w:t xml:space="preserve"> and BEIS</w:t>
      </w:r>
      <w:r w:rsidRPr="000F3C5E">
        <w:rPr>
          <w:vertAlign w:val="superscript"/>
        </w:rPr>
        <w:t>14</w:t>
      </w:r>
      <w:r>
        <w:t>)</w:t>
      </w:r>
      <w:r w:rsidRPr="000F3C5E">
        <w:t>.</w:t>
      </w:r>
      <w:r w:rsidR="00915914">
        <w:t xml:space="preserve"> Issues with data availability include</w:t>
      </w:r>
      <w:r w:rsidRPr="000F3C5E">
        <w:t>:</w:t>
      </w:r>
    </w:p>
    <w:p w:rsidRPr="000F3C5E" w:rsidR="0089037E" w:rsidP="00AF10D4" w:rsidRDefault="0089037E" w14:paraId="7887DDE4" w14:textId="77777777">
      <w:pPr>
        <w:pStyle w:val="ListParagraph"/>
        <w:numPr>
          <w:ilvl w:val="0"/>
          <w:numId w:val="27"/>
        </w:numPr>
      </w:pPr>
      <w:r w:rsidRPr="000F3C5E">
        <w:t>obtaining permissions for linkage of health and social care data</w:t>
      </w:r>
      <w:r w:rsidRPr="000F3C5E">
        <w:rPr>
          <w:vertAlign w:val="superscript"/>
        </w:rPr>
        <w:t>8</w:t>
      </w:r>
      <w:r w:rsidRPr="000F3C5E">
        <w:t xml:space="preserve"> and to other external datasets</w:t>
      </w:r>
      <w:r w:rsidRPr="000F3C5E">
        <w:rPr>
          <w:vertAlign w:val="superscript"/>
        </w:rPr>
        <w:t>7</w:t>
      </w:r>
      <w:r w:rsidRPr="000F3C5E">
        <w:t>;</w:t>
      </w:r>
    </w:p>
    <w:p w:rsidRPr="00643A84" w:rsidR="0089037E" w:rsidP="00AF10D4" w:rsidRDefault="0089037E" w14:paraId="0F585CE2" w14:textId="77777777">
      <w:pPr>
        <w:pStyle w:val="ListParagraph"/>
        <w:numPr>
          <w:ilvl w:val="0"/>
          <w:numId w:val="27"/>
        </w:numPr>
      </w:pPr>
      <w:r w:rsidRPr="000F3C5E">
        <w:t>f</w:t>
      </w:r>
      <w:r w:rsidRPr="00643A84">
        <w:t>ew indicators are available at small geographical</w:t>
      </w:r>
      <w:r w:rsidRPr="000F3C5E">
        <w:t xml:space="preserve"> l</w:t>
      </w:r>
      <w:r w:rsidRPr="00643A84">
        <w:t>evel</w:t>
      </w:r>
      <w:r w:rsidRPr="000F3C5E">
        <w:rPr>
          <w:vertAlign w:val="superscript"/>
        </w:rPr>
        <w:t>7</w:t>
      </w:r>
      <w:r w:rsidRPr="000F3C5E">
        <w:t>; a</w:t>
      </w:r>
      <w:r w:rsidRPr="00643A84">
        <w:t>nd</w:t>
      </w:r>
    </w:p>
    <w:p w:rsidR="0089037E" w:rsidP="00AF10D4" w:rsidRDefault="0089037E" w14:paraId="4BEFF0B0" w14:textId="77777777">
      <w:pPr>
        <w:pStyle w:val="ListParagraph"/>
        <w:numPr>
          <w:ilvl w:val="0"/>
          <w:numId w:val="27"/>
        </w:numPr>
      </w:pPr>
      <w:r w:rsidRPr="000F3C5E">
        <w:t>inconsistencies</w:t>
      </w:r>
      <w:r w:rsidRPr="00643A84">
        <w:t xml:space="preserve"> in </w:t>
      </w:r>
      <w:r w:rsidRPr="000F3C5E">
        <w:t>data collection by different health and care organisations</w:t>
      </w:r>
      <w:r w:rsidRPr="000F3C5E">
        <w:rPr>
          <w:vertAlign w:val="superscript"/>
        </w:rPr>
        <w:t>8</w:t>
      </w:r>
      <w:r w:rsidRPr="00643A84">
        <w:t>.</w:t>
      </w:r>
    </w:p>
    <w:p w:rsidR="0089037E" w:rsidP="0089037E" w:rsidRDefault="0089037E" w14:paraId="4EF17EAE" w14:textId="77777777">
      <w:r w:rsidRPr="000A671E">
        <w:t xml:space="preserve">Overall, the literature outlines a range of methods to identifying health inequalities. However, there is no “one size fits all” approach and different methods should be selected based on the specific requirements for each local area. </w:t>
      </w:r>
    </w:p>
    <w:p w:rsidR="0089037E" w:rsidP="0089037E" w:rsidRDefault="00915914" w14:paraId="2195C4E3" w14:textId="03268C8B">
      <w:r>
        <w:t>S</w:t>
      </w:r>
      <w:r w:rsidRPr="000F3C5E" w:rsidR="0089037E">
        <w:t>everal gaps in the existing literature</w:t>
      </w:r>
      <w:r>
        <w:t xml:space="preserve"> have been revealed</w:t>
      </w:r>
      <w:r w:rsidRPr="000F3C5E" w:rsidR="0089037E">
        <w:t xml:space="preserve">. Firstly, most papers tend to focus on </w:t>
      </w:r>
      <w:r w:rsidR="0089037E">
        <w:t xml:space="preserve">researching ways of </w:t>
      </w:r>
      <w:r w:rsidRPr="000F3C5E" w:rsidR="0089037E">
        <w:t xml:space="preserve">identifying inequalities </w:t>
      </w:r>
      <w:r w:rsidR="0089037E">
        <w:t xml:space="preserve">and present limited </w:t>
      </w:r>
      <w:r w:rsidRPr="000115EF" w:rsidR="0089037E">
        <w:t xml:space="preserve">evidence to support the effectiveness of these </w:t>
      </w:r>
      <w:r w:rsidR="0089037E">
        <w:t xml:space="preserve">methods </w:t>
      </w:r>
      <w:r w:rsidRPr="00EC0502" w:rsidR="0089037E">
        <w:t xml:space="preserve">as </w:t>
      </w:r>
      <w:r w:rsidRPr="000115EF" w:rsidR="0089037E">
        <w:t xml:space="preserve">they do not establish a clear link to </w:t>
      </w:r>
      <w:r w:rsidR="0089037E">
        <w:t>method</w:t>
      </w:r>
      <w:r w:rsidRPr="000115EF" w:rsidR="0089037E">
        <w:t xml:space="preserve">s. Secondly, there is often a lack of clarity regarding the rationale behind the selection of specific </w:t>
      </w:r>
      <w:r w:rsidR="0089037E">
        <w:t xml:space="preserve">methods </w:t>
      </w:r>
      <w:r w:rsidRPr="000115EF" w:rsidR="0089037E">
        <w:t>or populations for study. Hence, there is limited evidence to suggest that it is feasible to apply these approaches in another local area or extend th</w:t>
      </w:r>
      <w:r w:rsidRPr="00EC0502" w:rsidR="0089037E">
        <w:t>ese</w:t>
      </w:r>
      <w:r w:rsidRPr="000115EF" w:rsidR="0089037E">
        <w:t xml:space="preserve"> to other axes of inequality.</w:t>
      </w:r>
      <w:r w:rsidR="0089037E">
        <w:t xml:space="preserve">  </w:t>
      </w:r>
    </w:p>
    <w:p w:rsidR="0089037E" w:rsidP="0089037E" w:rsidRDefault="0089037E" w14:paraId="09AEEC9E" w14:textId="77777777">
      <w:pPr>
        <w:pStyle w:val="Heading3Numb"/>
      </w:pPr>
      <w:bookmarkStart w:name="_Toc139619160" w:id="103"/>
      <w:bookmarkEnd w:id="102"/>
      <w:r>
        <w:t>Common conditions for success and areas of challenge</w:t>
      </w:r>
      <w:bookmarkEnd w:id="103"/>
    </w:p>
    <w:p w:rsidRPr="00014162" w:rsidR="0089037E" w:rsidP="0089037E" w:rsidRDefault="0089037E" w14:paraId="16B82D10" w14:textId="77777777">
      <w:r>
        <w:t>Throughout the above literature, several common conditions for success and areas of challenge have been identified. These have been grouped based on the three themes for the assessment of ICS in the table below.</w:t>
      </w:r>
    </w:p>
    <w:p w:rsidRPr="003E51C0" w:rsidR="0089037E" w:rsidP="0089037E" w:rsidRDefault="0089037E" w14:paraId="32A5731D" w14:textId="61CFAB9D">
      <w:pPr>
        <w:rPr>
          <w:b/>
          <w:bCs/>
        </w:rPr>
      </w:pPr>
      <w:r w:rsidRPr="003E51C0">
        <w:rPr>
          <w:b/>
          <w:bCs/>
        </w:rPr>
        <w:t xml:space="preserve">Table </w:t>
      </w:r>
      <w:r w:rsidR="00CD2A86">
        <w:rPr>
          <w:b/>
          <w:bCs/>
        </w:rPr>
        <w:t>2</w:t>
      </w:r>
      <w:r w:rsidRPr="003E51C0">
        <w:rPr>
          <w:b/>
          <w:bCs/>
        </w:rPr>
        <w:t xml:space="preserve"> – Theme 1: common conditions for success and areas of challenge </w:t>
      </w:r>
    </w:p>
    <w:tbl>
      <w:tblPr>
        <w:tblStyle w:val="PlainTable1"/>
        <w:tblW w:w="5343" w:type="pct"/>
        <w:tblLook w:val="0420" w:firstRow="1" w:lastRow="0" w:firstColumn="0" w:lastColumn="0" w:noHBand="0" w:noVBand="1"/>
      </w:tblPr>
      <w:tblGrid>
        <w:gridCol w:w="1404"/>
        <w:gridCol w:w="4441"/>
        <w:gridCol w:w="4442"/>
      </w:tblGrid>
      <w:tr w:rsidR="0089037E" w:rsidTr="000229E6" w14:paraId="318BA42C" w14:textId="77777777">
        <w:trPr>
          <w:cnfStyle w:val="100000000000" w:firstRow="1" w:lastRow="0" w:firstColumn="0" w:lastColumn="0" w:oddVBand="0" w:evenVBand="0" w:oddHBand="0" w:evenHBand="0" w:firstRowFirstColumn="0" w:firstRowLastColumn="0" w:lastRowFirstColumn="0" w:lastRowLastColumn="0"/>
          <w:cantSplit/>
          <w:trHeight w:val="321"/>
          <w:tblHeader/>
        </w:trPr>
        <w:tc>
          <w:tcPr>
            <w:tcW w:w="682" w:type="pct"/>
          </w:tcPr>
          <w:p w:rsidR="0089037E" w:rsidP="000229E6" w:rsidRDefault="0089037E" w14:paraId="103DF123" w14:textId="77777777">
            <w:pPr>
              <w:spacing w:after="120"/>
            </w:pPr>
          </w:p>
        </w:tc>
        <w:tc>
          <w:tcPr>
            <w:tcW w:w="2159" w:type="pct"/>
          </w:tcPr>
          <w:p w:rsidR="0089037E" w:rsidP="000229E6" w:rsidRDefault="0089037E" w14:paraId="335877C6" w14:textId="77777777">
            <w:pPr>
              <w:spacing w:after="120"/>
            </w:pPr>
            <w:r>
              <w:t>Common conditions for success</w:t>
            </w:r>
          </w:p>
        </w:tc>
        <w:tc>
          <w:tcPr>
            <w:tcW w:w="2159" w:type="pct"/>
          </w:tcPr>
          <w:p w:rsidR="0089037E" w:rsidP="000229E6" w:rsidRDefault="0089037E" w14:paraId="63F7B946" w14:textId="77777777">
            <w:pPr>
              <w:spacing w:after="120"/>
            </w:pPr>
            <w:r>
              <w:t>Common areas of challenge</w:t>
            </w:r>
          </w:p>
        </w:tc>
      </w:tr>
      <w:tr w:rsidR="0089037E" w:rsidTr="000229E6" w14:paraId="1E3DF4BE" w14:textId="77777777">
        <w:trPr>
          <w:cnfStyle w:val="000000100000" w:firstRow="0" w:lastRow="0" w:firstColumn="0" w:lastColumn="0" w:oddVBand="0" w:evenVBand="0" w:oddHBand="1" w:evenHBand="0" w:firstRowFirstColumn="0" w:firstRowLastColumn="0" w:lastRowFirstColumn="0" w:lastRowLastColumn="0"/>
          <w:cantSplit/>
          <w:trHeight w:val="1641"/>
        </w:trPr>
        <w:tc>
          <w:tcPr>
            <w:tcW w:w="682" w:type="pct"/>
          </w:tcPr>
          <w:p w:rsidRPr="006479B0" w:rsidR="0089037E" w:rsidP="000229E6" w:rsidRDefault="0089037E" w14:paraId="5525FB7B" w14:textId="77777777">
            <w:pPr>
              <w:spacing w:after="120"/>
            </w:pPr>
            <w:r>
              <w:t>Leadership</w:t>
            </w:r>
          </w:p>
        </w:tc>
        <w:tc>
          <w:tcPr>
            <w:tcW w:w="2159" w:type="pct"/>
          </w:tcPr>
          <w:p w:rsidRPr="000F3C5E" w:rsidR="0089037E" w:rsidP="00AF10D4" w:rsidRDefault="0089037E" w14:paraId="2D2D932C" w14:textId="69CE0519">
            <w:pPr>
              <w:pStyle w:val="ListParagraph"/>
              <w:numPr>
                <w:ilvl w:val="0"/>
                <w:numId w:val="10"/>
              </w:numPr>
              <w:spacing w:after="120" w:line="240" w:lineRule="auto"/>
              <w:ind w:left="360"/>
            </w:pPr>
            <w:bookmarkStart w:name="_Hlk139489663" w:id="104"/>
            <w:r w:rsidRPr="000F3C5E">
              <w:t xml:space="preserve">Taking a </w:t>
            </w:r>
            <w:r w:rsidRPr="000F3C5E">
              <w:rPr>
                <w:b/>
                <w:bCs/>
              </w:rPr>
              <w:t xml:space="preserve">systems approach </w:t>
            </w:r>
            <w:bookmarkEnd w:id="104"/>
            <w:r w:rsidRPr="000F3C5E">
              <w:rPr>
                <w:b/>
                <w:bCs/>
              </w:rPr>
              <w:t>(‘local system’) to the breadth of health inequalities</w:t>
            </w:r>
            <w:r w:rsidRPr="000F3C5E">
              <w:t xml:space="preserve"> as a single public health issue</w:t>
            </w:r>
            <w:r w:rsidR="00706DD7">
              <w:t xml:space="preserve"> (eg child health inequalities)</w:t>
            </w:r>
            <w:r w:rsidRPr="000F3C5E">
              <w:t>, rather than tackling single issues such as obesity, healthy eating or physical</w:t>
            </w:r>
            <w:r w:rsidR="00C67C09">
              <w:t xml:space="preserve"> (eg unlike for adult health inequalities)</w:t>
            </w:r>
            <w:r w:rsidRPr="000F3C5E">
              <w:rPr>
                <w:vertAlign w:val="superscript"/>
              </w:rPr>
              <w:t>10</w:t>
            </w:r>
            <w:r w:rsidRPr="000F3C5E">
              <w:t>.</w:t>
            </w:r>
          </w:p>
        </w:tc>
        <w:tc>
          <w:tcPr>
            <w:tcW w:w="2159" w:type="pct"/>
          </w:tcPr>
          <w:p w:rsidRPr="000F3C5E" w:rsidR="0089037E" w:rsidP="00AF10D4" w:rsidRDefault="0089037E" w14:paraId="4873D1A1" w14:textId="61AB3039">
            <w:pPr>
              <w:pStyle w:val="ListParagraph"/>
              <w:numPr>
                <w:ilvl w:val="0"/>
                <w:numId w:val="10"/>
              </w:numPr>
              <w:spacing w:after="120" w:line="240" w:lineRule="auto"/>
              <w:ind w:left="360"/>
            </w:pPr>
            <w:r w:rsidRPr="000F3C5E">
              <w:t>Due to cuts to local authority budgets, taking a systems approach to health inequalities</w:t>
            </w:r>
            <w:r w:rsidR="008E2669">
              <w:t xml:space="preserve"> (eg child health inequalities)</w:t>
            </w:r>
            <w:r w:rsidRPr="000F3C5E">
              <w:t xml:space="preserve"> is not presently viable as many local services contracting to deliver only statutory responsibilities.</w:t>
            </w:r>
            <w:r w:rsidRPr="000F3C5E">
              <w:rPr>
                <w:vertAlign w:val="superscript"/>
              </w:rPr>
              <w:t>10</w:t>
            </w:r>
          </w:p>
        </w:tc>
      </w:tr>
      <w:tr w:rsidR="0089037E" w:rsidTr="000229E6" w14:paraId="4FE78D53" w14:textId="77777777">
        <w:trPr>
          <w:cantSplit/>
          <w:trHeight w:val="558"/>
        </w:trPr>
        <w:tc>
          <w:tcPr>
            <w:tcW w:w="682" w:type="pct"/>
          </w:tcPr>
          <w:p w:rsidRPr="006479B0" w:rsidR="0089037E" w:rsidP="000229E6" w:rsidRDefault="0089037E" w14:paraId="49E2DC0A" w14:textId="77777777">
            <w:pPr>
              <w:spacing w:after="120"/>
            </w:pPr>
            <w:r>
              <w:t>Integration</w:t>
            </w:r>
          </w:p>
        </w:tc>
        <w:tc>
          <w:tcPr>
            <w:tcW w:w="2159" w:type="pct"/>
          </w:tcPr>
          <w:p w:rsidRPr="000F3C5E" w:rsidR="0089037E" w:rsidP="00AF10D4" w:rsidRDefault="0089037E" w14:paraId="1F203C42" w14:textId="77777777">
            <w:pPr>
              <w:pStyle w:val="ListParagraph"/>
              <w:numPr>
                <w:ilvl w:val="0"/>
                <w:numId w:val="10"/>
              </w:numPr>
              <w:spacing w:after="120" w:line="240" w:lineRule="auto"/>
              <w:ind w:left="357" w:hanging="357"/>
              <w:contextualSpacing w:val="0"/>
            </w:pPr>
            <w:r w:rsidRPr="000F3C5E">
              <w:t xml:space="preserve">Need to </w:t>
            </w:r>
            <w:r w:rsidRPr="000F3C5E">
              <w:rPr>
                <w:b/>
                <w:bCs/>
              </w:rPr>
              <w:t>identify the core population/unique population segments</w:t>
            </w:r>
            <w:r w:rsidRPr="000F3C5E">
              <w:t xml:space="preserve"> in the area of interest (ie served by a specific trust, registered via a particular GP). “</w:t>
            </w:r>
            <w:r w:rsidRPr="000F3C5E">
              <w:rPr>
                <w:i/>
                <w:iCs/>
              </w:rPr>
              <w:t>Segmenting a heterogeneous population into discrete and relatively homogenous groups with similar healthcare needs can enable the development of integrated health and care systems that are more targeted and efficient</w:t>
            </w:r>
            <w:r w:rsidRPr="000F3C5E">
              <w:t>”.</w:t>
            </w:r>
            <w:r w:rsidRPr="000F3C5E">
              <w:rPr>
                <w:vertAlign w:val="superscript"/>
              </w:rPr>
              <w:t>8</w:t>
            </w:r>
          </w:p>
        </w:tc>
        <w:tc>
          <w:tcPr>
            <w:tcW w:w="2159" w:type="pct"/>
          </w:tcPr>
          <w:p w:rsidRPr="000F3C5E" w:rsidR="0089037E" w:rsidP="00AF10D4" w:rsidRDefault="0089037E" w14:paraId="32B47489" w14:textId="77777777">
            <w:pPr>
              <w:pStyle w:val="ListParagraph"/>
              <w:numPr>
                <w:ilvl w:val="0"/>
                <w:numId w:val="10"/>
              </w:numPr>
              <w:spacing w:after="120" w:line="240" w:lineRule="auto"/>
              <w:ind w:left="309"/>
            </w:pPr>
            <w:r w:rsidRPr="000F3C5E">
              <w:t>Using mutually exclusive areas to identify a profile of a population presents issues for an urban area where there tend to be several commissioning and provider organisations.</w:t>
            </w:r>
            <w:r w:rsidRPr="000F3C5E">
              <w:rPr>
                <w:vertAlign w:val="superscript"/>
              </w:rPr>
              <w:t>7</w:t>
            </w:r>
            <w:r w:rsidRPr="000F3C5E">
              <w:t xml:space="preserve"> In addition, some measures (eg residential mobility) present a challenge for ICS as they can potentially alter the health profile of the area.</w:t>
            </w:r>
            <w:r w:rsidRPr="000F3C5E">
              <w:rPr>
                <w:vertAlign w:val="superscript"/>
              </w:rPr>
              <w:t>12</w:t>
            </w:r>
          </w:p>
        </w:tc>
      </w:tr>
      <w:tr w:rsidR="0089037E" w:rsidTr="000229E6" w14:paraId="6BB75DF0" w14:textId="77777777">
        <w:trPr>
          <w:cnfStyle w:val="000000100000" w:firstRow="0" w:lastRow="0" w:firstColumn="0" w:lastColumn="0" w:oddVBand="0" w:evenVBand="0" w:oddHBand="1" w:evenHBand="0" w:firstRowFirstColumn="0" w:firstRowLastColumn="0" w:lastRowFirstColumn="0" w:lastRowLastColumn="0"/>
          <w:cantSplit/>
          <w:trHeight w:val="2492"/>
        </w:trPr>
        <w:tc>
          <w:tcPr>
            <w:tcW w:w="682" w:type="pct"/>
          </w:tcPr>
          <w:p w:rsidRPr="006479B0" w:rsidR="0089037E" w:rsidP="000229E6" w:rsidRDefault="0089037E" w14:paraId="01259607" w14:textId="77777777">
            <w:pPr>
              <w:spacing w:after="120"/>
            </w:pPr>
            <w:r>
              <w:t>Quality and safety</w:t>
            </w:r>
          </w:p>
        </w:tc>
        <w:tc>
          <w:tcPr>
            <w:tcW w:w="2159" w:type="pct"/>
          </w:tcPr>
          <w:p w:rsidRPr="000F3C5E" w:rsidR="0089037E" w:rsidP="00AF10D4" w:rsidRDefault="0089037E" w14:paraId="19F93B19" w14:textId="67C3B833">
            <w:pPr>
              <w:pStyle w:val="ListParagraph"/>
              <w:numPr>
                <w:ilvl w:val="0"/>
                <w:numId w:val="10"/>
              </w:numPr>
              <w:spacing w:after="120" w:line="240" w:lineRule="auto"/>
              <w:ind w:left="360"/>
            </w:pPr>
            <w:r w:rsidRPr="000F3C5E">
              <w:rPr>
                <w:b/>
                <w:bCs/>
              </w:rPr>
              <w:t>Leveraging publicly available local and national datasets</w:t>
            </w:r>
            <w:r w:rsidRPr="000F3C5E">
              <w:t xml:space="preserve"> (eg </w:t>
            </w:r>
            <w:r w:rsidR="004104E8">
              <w:t>Hospital Episode Statistics (</w:t>
            </w:r>
            <w:r w:rsidRPr="000F3C5E">
              <w:t>HES</w:t>
            </w:r>
            <w:r w:rsidR="004104E8">
              <w:t>)</w:t>
            </w:r>
            <w:r w:rsidRPr="000F3C5E">
              <w:t xml:space="preserve">), </w:t>
            </w:r>
            <w:r w:rsidRPr="00790D5C" w:rsidR="004104E8">
              <w:rPr>
                <w:rFonts w:eastAsia="Arial" w:cs="Arial"/>
                <w:szCs w:val="24"/>
              </w:rPr>
              <w:t>Lower layer Super Output Area</w:t>
            </w:r>
            <w:r w:rsidR="004104E8">
              <w:rPr>
                <w:rFonts w:eastAsia="Arial" w:cs="Arial"/>
                <w:szCs w:val="24"/>
              </w:rPr>
              <w:t>s</w:t>
            </w:r>
            <w:r w:rsidR="004104E8">
              <w:t xml:space="preserve">  (</w:t>
            </w:r>
            <w:r w:rsidRPr="000F3C5E">
              <w:t>LSOA</w:t>
            </w:r>
            <w:r w:rsidR="004104E8">
              <w:t>)</w:t>
            </w:r>
            <w:r w:rsidRPr="000F3C5E">
              <w:t xml:space="preserve"> level data and access to primary and secondary care datasets.</w:t>
            </w:r>
          </w:p>
          <w:p w:rsidRPr="000F3C5E" w:rsidR="0089037E" w:rsidP="000229E6" w:rsidRDefault="0089037E" w14:paraId="095CFC89" w14:textId="77777777">
            <w:pPr>
              <w:spacing w:after="120"/>
            </w:pPr>
          </w:p>
        </w:tc>
        <w:tc>
          <w:tcPr>
            <w:tcW w:w="2159" w:type="pct"/>
          </w:tcPr>
          <w:p w:rsidRPr="000F3C5E" w:rsidR="0089037E" w:rsidP="00AF10D4" w:rsidRDefault="0089037E" w14:paraId="4F50D991" w14:textId="77777777">
            <w:pPr>
              <w:pStyle w:val="ListParagraph"/>
              <w:numPr>
                <w:ilvl w:val="0"/>
                <w:numId w:val="10"/>
              </w:numPr>
              <w:spacing w:after="120" w:line="240" w:lineRule="auto"/>
              <w:ind w:left="360"/>
            </w:pPr>
            <w:r w:rsidRPr="000F3C5E">
              <w:rPr>
                <w:b/>
                <w:bCs/>
              </w:rPr>
              <w:t xml:space="preserve">Data challenges: </w:t>
            </w:r>
            <w:r w:rsidRPr="000F7A4D">
              <w:t>missing data</w:t>
            </w:r>
            <w:r w:rsidRPr="000F3C5E">
              <w:t xml:space="preserve"> can obstruct reflection of local patterns. For example, fewer indicators are available at smaller geographical levels and typically there is reduced granularity. Issues with data linkage, such as, HES linkage to other external datasets can prevent from building in health need predictions. Data issues also reduce robustness of the methods developed.</w:t>
            </w:r>
          </w:p>
        </w:tc>
      </w:tr>
    </w:tbl>
    <w:p w:rsidR="0089037E" w:rsidP="006C28CC" w:rsidRDefault="0089037E" w14:paraId="11BB617F" w14:textId="389F0DDA">
      <w:pPr>
        <w:spacing w:before="240"/>
      </w:pPr>
      <w:bookmarkStart w:name="_Toc139558230" w:id="105"/>
      <w:bookmarkStart w:name="_Toc139619161" w:id="106"/>
      <w:r>
        <w:t>Please note: the common conditions for success and areas of challenge have been grouped thematically, however, these may be categorised differently following the refinement of the ICS assessment themes.</w:t>
      </w:r>
      <w:r>
        <w:br w:type="page"/>
      </w:r>
    </w:p>
    <w:bookmarkEnd w:id="105"/>
    <w:bookmarkEnd w:id="106"/>
    <w:p w:rsidR="0089037E" w:rsidP="0089037E" w:rsidRDefault="0089037E" w14:paraId="5C97F89C" w14:textId="77777777">
      <w:pPr>
        <w:pStyle w:val="Heading2Num"/>
        <w:spacing w:after="240"/>
        <w:ind w:left="680"/>
      </w:pPr>
      <w:r w:rsidRPr="00601221">
        <w:t xml:space="preserve">Theme 2: </w:t>
      </w:r>
      <w:r>
        <w:t xml:space="preserve">What are the evidence-based methods/approaches that work to address health inequalities within a local area? </w:t>
      </w:r>
    </w:p>
    <w:p w:rsidR="0089037E" w:rsidP="00CF2642" w:rsidRDefault="0089037E" w14:paraId="49D5A925" w14:textId="144B0C01">
      <w:pPr>
        <w:spacing w:after="120"/>
      </w:pPr>
      <w:r>
        <w:t xml:space="preserve">This section </w:t>
      </w:r>
      <w:r w:rsidRPr="00455B5D">
        <w:t>explor</w:t>
      </w:r>
      <w:r>
        <w:t>es</w:t>
      </w:r>
      <w:r w:rsidRPr="00455B5D">
        <w:t xml:space="preserve"> </w:t>
      </w:r>
      <w:r w:rsidR="00B20BE0">
        <w:t xml:space="preserve">the overarching </w:t>
      </w:r>
      <w:r w:rsidRPr="00455B5D">
        <w:t xml:space="preserve">approaches </w:t>
      </w:r>
      <w:r w:rsidR="00B20BE0">
        <w:t xml:space="preserve">and specific methods </w:t>
      </w:r>
      <w:r w:rsidRPr="00455B5D">
        <w:t xml:space="preserve">that work </w:t>
      </w:r>
      <w:r>
        <w:t xml:space="preserve">to address </w:t>
      </w:r>
      <w:r w:rsidRPr="00455B5D">
        <w:t xml:space="preserve">health </w:t>
      </w:r>
      <w:r>
        <w:t>in</w:t>
      </w:r>
      <w:r w:rsidRPr="00455B5D">
        <w:t>equalities</w:t>
      </w:r>
      <w:r>
        <w:t xml:space="preserve">, including </w:t>
      </w:r>
      <w:r w:rsidRPr="00455B5D">
        <w:t>the types of approaches or methods</w:t>
      </w:r>
      <w:r>
        <w:t xml:space="preserve">, </w:t>
      </w:r>
      <w:r w:rsidRPr="00455B5D">
        <w:t xml:space="preserve">factors </w:t>
      </w:r>
      <w:r>
        <w:t>for</w:t>
      </w:r>
      <w:r w:rsidRPr="00455B5D">
        <w:t xml:space="preserve"> success</w:t>
      </w:r>
      <w:r>
        <w:t xml:space="preserve"> and </w:t>
      </w:r>
      <w:r w:rsidRPr="00455B5D">
        <w:t>areas of challenge</w:t>
      </w:r>
      <w:r>
        <w:t>. We address:</w:t>
      </w:r>
    </w:p>
    <w:p w:rsidRPr="00E26E5B" w:rsidR="0089037E" w:rsidP="00AF10D4" w:rsidRDefault="0089037E" w14:paraId="24C6BEAB" w14:textId="1BD63140">
      <w:pPr>
        <w:pStyle w:val="NormalNoSpace"/>
        <w:numPr>
          <w:ilvl w:val="0"/>
          <w:numId w:val="34"/>
        </w:numPr>
      </w:pPr>
      <w:r>
        <w:t>T</w:t>
      </w:r>
      <w:r w:rsidRPr="00E26E5B">
        <w:t xml:space="preserve">he approaches implemented in local </w:t>
      </w:r>
      <w:r>
        <w:t>areas to address health inequalities;</w:t>
      </w:r>
    </w:p>
    <w:p w:rsidRPr="00E26E5B" w:rsidR="0089037E" w:rsidP="00AF10D4" w:rsidRDefault="00DA5B0B" w14:paraId="778D71DF" w14:textId="395F11F7">
      <w:pPr>
        <w:pStyle w:val="NormalNoSpace"/>
        <w:numPr>
          <w:ilvl w:val="0"/>
          <w:numId w:val="34"/>
        </w:numPr>
      </w:pPr>
      <w:r>
        <w:t>D</w:t>
      </w:r>
      <w:r w:rsidR="0089037E">
        <w:t>ifferent methods that are used to address health inequalities within a local area;</w:t>
      </w:r>
    </w:p>
    <w:p w:rsidRPr="00E26E5B" w:rsidR="0089037E" w:rsidP="00AF10D4" w:rsidRDefault="00DA5B0B" w14:paraId="08566A5B" w14:textId="093A30C0">
      <w:pPr>
        <w:pStyle w:val="NormalNoSpace"/>
        <w:numPr>
          <w:ilvl w:val="0"/>
          <w:numId w:val="34"/>
        </w:numPr>
        <w:rPr>
          <w:rFonts w:cs="Arial"/>
        </w:rPr>
      </w:pPr>
      <w:r>
        <w:rPr>
          <w:rFonts w:cs="Arial"/>
        </w:rPr>
        <w:t>M</w:t>
      </w:r>
      <w:r w:rsidRPr="00E26E5B" w:rsidR="0089037E">
        <w:rPr>
          <w:rFonts w:cs="Arial"/>
        </w:rPr>
        <w:t>ethods generic or specific to specific communities or types of area</w:t>
      </w:r>
      <w:r w:rsidR="0089037E">
        <w:rPr>
          <w:rFonts w:cs="Arial"/>
        </w:rPr>
        <w:t>;</w:t>
      </w:r>
      <w:r w:rsidRPr="00E26E5B" w:rsidR="0089037E">
        <w:rPr>
          <w:rFonts w:cs="Arial"/>
        </w:rPr>
        <w:t xml:space="preserve"> and</w:t>
      </w:r>
    </w:p>
    <w:p w:rsidRPr="00CD2A86" w:rsidR="0089037E" w:rsidP="00CD2A86" w:rsidRDefault="0089037E" w14:paraId="4BA5C507" w14:textId="109D37D7">
      <w:pPr>
        <w:pStyle w:val="NormalNoSpace"/>
        <w:numPr>
          <w:ilvl w:val="0"/>
          <w:numId w:val="34"/>
        </w:numPr>
        <w:spacing w:after="200"/>
      </w:pPr>
      <w:r w:rsidRPr="00E26E5B">
        <w:t>Common conditions for success and areas of challenge</w:t>
      </w:r>
      <w:r>
        <w:t>.</w:t>
      </w:r>
    </w:p>
    <w:p w:rsidRPr="00EF4B1F" w:rsidR="0089037E" w:rsidP="0089037E" w:rsidRDefault="0089037E" w14:paraId="31846B18" w14:textId="77777777">
      <w:pPr>
        <w:rPr>
          <w:rFonts w:cs="Arial"/>
        </w:rPr>
      </w:pPr>
      <w:r>
        <w:rPr>
          <w:rFonts w:cs="Arial"/>
          <w:b/>
          <w:bCs/>
        </w:rPr>
        <w:t>Approaches implemented in local systems to address health inequalities.</w:t>
      </w:r>
    </w:p>
    <w:p w:rsidR="0089037E" w:rsidP="0089037E" w:rsidRDefault="0089037E" w14:paraId="400D517C" w14:textId="14045A2E">
      <w:pPr>
        <w:spacing w:after="120"/>
      </w:pPr>
      <w:r>
        <w:rPr>
          <w:rFonts w:eastAsia="Calibri" w:cs="Arial"/>
          <w:kern w:val="24"/>
          <w:szCs w:val="24"/>
        </w:rPr>
        <w:t xml:space="preserve">The </w:t>
      </w:r>
      <w:r w:rsidRPr="00DF5BF0">
        <w:rPr>
          <w:rFonts w:eastAsia="Calibri" w:cs="Arial"/>
          <w:kern w:val="24"/>
          <w:szCs w:val="24"/>
        </w:rPr>
        <w:t>use of several different approaches that can be used to address health inequalities</w:t>
      </w:r>
      <w:r>
        <w:rPr>
          <w:rFonts w:eastAsia="Calibri" w:cs="Arial"/>
          <w:kern w:val="24"/>
          <w:szCs w:val="24"/>
        </w:rPr>
        <w:t xml:space="preserve"> have been highlighted. The </w:t>
      </w:r>
      <w:r>
        <w:t>overarching approaches include:</w:t>
      </w:r>
    </w:p>
    <w:p w:rsidRPr="00884AFE" w:rsidR="0089037E" w:rsidP="00AF10D4" w:rsidRDefault="0089037E" w14:paraId="59FBCCC0" w14:textId="77777777">
      <w:pPr>
        <w:pStyle w:val="ListParagraph"/>
        <w:numPr>
          <w:ilvl w:val="0"/>
          <w:numId w:val="18"/>
        </w:numPr>
        <w:spacing w:after="120"/>
        <w:ind w:left="714" w:hanging="357"/>
        <w:contextualSpacing w:val="0"/>
        <w:rPr>
          <w:rFonts w:cs="Arial"/>
          <w:b/>
          <w:bCs/>
          <w:szCs w:val="24"/>
        </w:rPr>
      </w:pPr>
      <w:bookmarkStart w:name="_Hlk139489909" w:id="107"/>
      <w:r w:rsidRPr="00F62960">
        <w:rPr>
          <w:rFonts w:cs="Arial"/>
          <w:b/>
          <w:bCs/>
          <w:szCs w:val="24"/>
        </w:rPr>
        <w:t xml:space="preserve">Asset-based or </w:t>
      </w:r>
      <w:r>
        <w:rPr>
          <w:rFonts w:cs="Arial"/>
          <w:b/>
          <w:bCs/>
          <w:szCs w:val="24"/>
        </w:rPr>
        <w:t>place</w:t>
      </w:r>
      <w:r w:rsidRPr="00F62960">
        <w:rPr>
          <w:rFonts w:cs="Arial"/>
          <w:b/>
          <w:bCs/>
          <w:szCs w:val="24"/>
        </w:rPr>
        <w:t xml:space="preserve">-based approaches: </w:t>
      </w:r>
      <w:r>
        <w:rPr>
          <w:rFonts w:cs="Arial"/>
          <w:szCs w:val="24"/>
        </w:rPr>
        <w:t>which u</w:t>
      </w:r>
      <w:r w:rsidRPr="00C57987">
        <w:rPr>
          <w:rFonts w:cs="Arial"/>
          <w:szCs w:val="24"/>
        </w:rPr>
        <w:t>se both physical community assets</w:t>
      </w:r>
      <w:r>
        <w:rPr>
          <w:rFonts w:cs="Arial"/>
          <w:szCs w:val="24"/>
        </w:rPr>
        <w:t xml:space="preserve"> (eg community centres, recreation facilities, transport systems, etc.)</w:t>
      </w:r>
      <w:r>
        <w:rPr>
          <w:rFonts w:cs="Arial"/>
          <w:b/>
          <w:bCs/>
          <w:szCs w:val="24"/>
        </w:rPr>
        <w:t xml:space="preserve"> </w:t>
      </w:r>
      <w:r w:rsidRPr="00C57987">
        <w:rPr>
          <w:rFonts w:cs="Arial"/>
          <w:szCs w:val="24"/>
        </w:rPr>
        <w:t xml:space="preserve">and </w:t>
      </w:r>
      <w:r w:rsidRPr="0054518F">
        <w:rPr>
          <w:rFonts w:eastAsia="Arial" w:cs="Arial"/>
          <w:szCs w:val="24"/>
        </w:rPr>
        <w:t>Voluntary Community and Social Enterprise</w:t>
      </w:r>
      <w:r w:rsidRPr="00C57987">
        <w:rPr>
          <w:rFonts w:cs="Arial"/>
          <w:szCs w:val="24"/>
        </w:rPr>
        <w:t xml:space="preserve"> </w:t>
      </w:r>
      <w:r>
        <w:rPr>
          <w:rFonts w:cs="Arial"/>
          <w:szCs w:val="24"/>
        </w:rPr>
        <w:t>(</w:t>
      </w:r>
      <w:r w:rsidRPr="00C57987">
        <w:rPr>
          <w:rFonts w:cs="Arial"/>
          <w:szCs w:val="24"/>
        </w:rPr>
        <w:t>VCSE</w:t>
      </w:r>
      <w:r>
        <w:rPr>
          <w:rFonts w:cs="Arial"/>
          <w:szCs w:val="24"/>
        </w:rPr>
        <w:t>)</w:t>
      </w:r>
      <w:r w:rsidRPr="00C57987">
        <w:rPr>
          <w:rFonts w:cs="Arial"/>
          <w:szCs w:val="24"/>
        </w:rPr>
        <w:t xml:space="preserve"> organisations</w:t>
      </w:r>
      <w:r>
        <w:rPr>
          <w:rFonts w:cs="Arial"/>
          <w:b/>
          <w:bCs/>
          <w:szCs w:val="24"/>
        </w:rPr>
        <w:t xml:space="preserve"> </w:t>
      </w:r>
      <w:r>
        <w:rPr>
          <w:rFonts w:cs="Arial"/>
          <w:szCs w:val="24"/>
        </w:rPr>
        <w:t>to support communities through a range of engagement-based or social-led programmes, with a focus on addressing health inequalities.</w:t>
      </w:r>
    </w:p>
    <w:p w:rsidRPr="00884AFE" w:rsidR="0089037E" w:rsidP="00AF10D4" w:rsidRDefault="0089037E" w14:paraId="2BEABF43" w14:textId="0E5C7400">
      <w:pPr>
        <w:pStyle w:val="ListParagraph"/>
        <w:numPr>
          <w:ilvl w:val="0"/>
          <w:numId w:val="18"/>
        </w:numPr>
        <w:spacing w:after="120"/>
        <w:ind w:left="714" w:hanging="357"/>
        <w:contextualSpacing w:val="0"/>
        <w:rPr>
          <w:rFonts w:cs="Arial"/>
          <w:b/>
          <w:bCs/>
          <w:szCs w:val="24"/>
        </w:rPr>
      </w:pPr>
      <w:r w:rsidRPr="00884AFE">
        <w:rPr>
          <w:rFonts w:cs="Arial"/>
          <w:b/>
          <w:bCs/>
          <w:szCs w:val="24"/>
        </w:rPr>
        <w:t>Proportionate universalism:</w:t>
      </w:r>
      <w:r w:rsidRPr="00884AFE">
        <w:t xml:space="preserve"> </w:t>
      </w:r>
      <w:r>
        <w:t>this is a method of allocating resources to services aimed at reducing health inequalities, with low-level support provided universally and stepped intensity of support for individuals and / or communities based on level of need. Proportionate universalism is also a very commonly cited approach within an early</w:t>
      </w:r>
      <w:r w:rsidR="00493E76">
        <w:t>-</w:t>
      </w:r>
      <w:r>
        <w:t>years setting.</w:t>
      </w:r>
    </w:p>
    <w:p w:rsidRPr="00114DC8" w:rsidR="0089037E" w:rsidP="00AF10D4" w:rsidRDefault="0089037E" w14:paraId="67B83B30" w14:textId="77777777">
      <w:pPr>
        <w:pStyle w:val="ListParagraph"/>
        <w:numPr>
          <w:ilvl w:val="0"/>
          <w:numId w:val="18"/>
        </w:numPr>
        <w:ind w:left="714" w:hanging="357"/>
        <w:contextualSpacing w:val="0"/>
        <w:rPr>
          <w:rFonts w:cs="Arial"/>
          <w:b/>
          <w:bCs/>
          <w:szCs w:val="24"/>
        </w:rPr>
      </w:pPr>
      <w:r w:rsidRPr="00114DC8">
        <w:rPr>
          <w:rFonts w:cs="Arial"/>
          <w:b/>
          <w:bCs/>
          <w:szCs w:val="24"/>
        </w:rPr>
        <w:t xml:space="preserve">Engagement-based approaches: </w:t>
      </w:r>
      <w:r w:rsidRPr="00114DC8">
        <w:rPr>
          <w:rFonts w:cs="Arial"/>
          <w:szCs w:val="24"/>
        </w:rPr>
        <w:t xml:space="preserve">the use of community navigators (ie local area co-ordinators). Their role is often to co-produce or co-develop </w:t>
      </w:r>
      <w:bookmarkEnd w:id="107"/>
      <w:r w:rsidRPr="00114DC8">
        <w:rPr>
          <w:rFonts w:cs="Arial"/>
          <w:szCs w:val="24"/>
        </w:rPr>
        <w:t xml:space="preserve">tailored methods for either whole communities or individuals as a mechanism of reducing health inequalities. </w:t>
      </w:r>
    </w:p>
    <w:p w:rsidRPr="00267B25" w:rsidR="0089037E" w:rsidP="0089037E" w:rsidRDefault="0089037E" w14:paraId="21C39614" w14:textId="77777777">
      <w:r>
        <w:rPr>
          <w:rFonts w:eastAsia="Calibri" w:cs="Arial"/>
          <w:kern w:val="24"/>
          <w:szCs w:val="24"/>
        </w:rPr>
        <w:t xml:space="preserve">A </w:t>
      </w:r>
      <w:r w:rsidRPr="00B17F32">
        <w:rPr>
          <w:rFonts w:eastAsia="Calibri" w:cs="Arial"/>
          <w:kern w:val="24"/>
          <w:szCs w:val="24"/>
        </w:rPr>
        <w:t xml:space="preserve">number of studies have referenced a combination of these approaches rather than using them in a </w:t>
      </w:r>
      <w:r w:rsidRPr="0089037E">
        <w:rPr>
          <w:rFonts w:eastAsia="Calibri" w:cs="Arial"/>
          <w:kern w:val="24"/>
          <w:szCs w:val="24"/>
        </w:rPr>
        <w:t>standalone manner.</w:t>
      </w:r>
      <w:r w:rsidRPr="0089037E">
        <w:rPr>
          <w:rFonts w:cs="Arial"/>
          <w:kern w:val="24"/>
        </w:rPr>
        <w:t xml:space="preserve"> For example, one study used Link Workers, who were members of the target community, to enact a social prescribing model that directed individuals with long term conditions to facilities and services that already existed in the community.</w:t>
      </w:r>
      <w:r w:rsidRPr="0089037E">
        <w:rPr>
          <w:rFonts w:cs="Arial"/>
          <w:kern w:val="24"/>
          <w:vertAlign w:val="superscript"/>
        </w:rPr>
        <w:t>23</w:t>
      </w:r>
      <w:r w:rsidRPr="0089037E">
        <w:rPr>
          <w:rFonts w:cs="Arial"/>
          <w:b/>
          <w:bCs/>
          <w:kern w:val="24"/>
        </w:rPr>
        <w:t xml:space="preserve"> . </w:t>
      </w:r>
      <w:r w:rsidRPr="0089037E">
        <w:t>The majority of asset or place-based approaches use a range of behavioural and engagement mechanisms as a part of their approach, allowing the range of methods / initiatives to be flexible to meet the needs of the engaged population. They also tend to leverage existing community assets (both in terms of physical buildings and VCSE organisations). These approaches have also been determined ‘salutogenic’</w:t>
      </w:r>
      <w:r w:rsidRPr="0089037E">
        <w:rPr>
          <w:vertAlign w:val="superscript"/>
        </w:rPr>
        <w:t>16,17</w:t>
      </w:r>
      <w:r w:rsidRPr="0089037E">
        <w:t xml:space="preserve">, which is defined as approaches to wellbeing </w:t>
      </w:r>
      <w:r w:rsidRPr="00267B25">
        <w:t>that focus on health rather than disease</w:t>
      </w:r>
      <w:r>
        <w:t>, and w</w:t>
      </w:r>
      <w:r w:rsidRPr="00267B25">
        <w:t xml:space="preserve">hile these approaches have not been evaluated extensively within the literature, there </w:t>
      </w:r>
      <w:r>
        <w:t>is</w:t>
      </w:r>
      <w:r w:rsidRPr="00267B25">
        <w:t xml:space="preserve"> evidence to suggest that</w:t>
      </w:r>
      <w:r>
        <w:t xml:space="preserve"> such approaches are effective</w:t>
      </w:r>
      <w:r w:rsidRPr="00267B25">
        <w:t xml:space="preserve">: </w:t>
      </w:r>
    </w:p>
    <w:p w:rsidR="00C5054F" w:rsidP="0089037E" w:rsidRDefault="0089037E" w14:paraId="6643EFCC" w14:textId="77777777">
      <w:pPr>
        <w:autoSpaceDE w:val="0"/>
        <w:autoSpaceDN w:val="0"/>
        <w:adjustRightInd w:val="0"/>
        <w:spacing w:line="240" w:lineRule="auto"/>
        <w:ind w:firstLine="720"/>
        <w:rPr>
          <w:i/>
          <w:iCs/>
          <w:vertAlign w:val="superscript"/>
        </w:rPr>
      </w:pPr>
      <w:r w:rsidRPr="00267B25">
        <w:rPr>
          <w:i/>
          <w:iCs/>
        </w:rPr>
        <w:t>“salutogenic approaches are useful in the treatment and prevention of long-term conditions, can take pressure off of socialised healthcare systems and can be effective in increasing resilience and wellbeing in individuals and communities. [However,] despite evidence of the positive impact of cultural engagement on the population in general, there remains inconsistency in the evidence for community assets as reducers of health inequity in disadvantaged, marginalised or vulnerable communities”.</w:t>
      </w:r>
      <w:r w:rsidRPr="00267B25">
        <w:rPr>
          <w:i/>
          <w:iCs/>
          <w:vertAlign w:val="superscript"/>
        </w:rPr>
        <w:t>16</w:t>
      </w:r>
      <w:r>
        <w:rPr>
          <w:i/>
          <w:iCs/>
          <w:vertAlign w:val="superscript"/>
        </w:rPr>
        <w:t xml:space="preserve"> </w:t>
      </w:r>
    </w:p>
    <w:p w:rsidRPr="00E26E5B" w:rsidR="0089037E" w:rsidP="008610FD" w:rsidRDefault="0089037E" w14:paraId="6761377C" w14:textId="2CAF906A">
      <w:pPr>
        <w:autoSpaceDE w:val="0"/>
        <w:autoSpaceDN w:val="0"/>
        <w:adjustRightInd w:val="0"/>
        <w:spacing w:line="240" w:lineRule="auto"/>
        <w:rPr>
          <w:highlight w:val="cyan"/>
        </w:rPr>
      </w:pPr>
      <w:r>
        <w:t xml:space="preserve">This is due to a lack of clarity in the literature on the impact of these initiatives as many only provide anecdotal evidence. This is important as disadvantaged, marginalised, and vulnerable groups are the ones that require the most assistance if health inequities are to be addressed. </w:t>
      </w:r>
    </w:p>
    <w:p w:rsidRPr="00E26E5B" w:rsidR="0089037E" w:rsidP="0089037E" w:rsidRDefault="0089037E" w14:paraId="179A6F0F" w14:textId="45184AC8">
      <w:pPr>
        <w:autoSpaceDE w:val="0"/>
        <w:autoSpaceDN w:val="0"/>
        <w:adjustRightInd w:val="0"/>
        <w:spacing w:line="240" w:lineRule="auto"/>
      </w:pPr>
      <w:r>
        <w:t xml:space="preserve">As </w:t>
      </w:r>
      <w:r w:rsidRPr="00267B25">
        <w:t>these approaches focus on particular communities or neighbourhoods, there will often be a requirement</w:t>
      </w:r>
      <w:r w:rsidRPr="009F7B32">
        <w:t xml:space="preserve"> to establish new ways of working across partnership </w:t>
      </w:r>
      <w:r w:rsidRPr="002145F8">
        <w:t>organisations</w:t>
      </w:r>
      <w:r>
        <w:rPr>
          <w:vertAlign w:val="superscript"/>
        </w:rPr>
        <w:t>18-19</w:t>
      </w:r>
      <w:r w:rsidRPr="002145F8">
        <w:t xml:space="preserve">. </w:t>
      </w:r>
      <w:r>
        <w:t xml:space="preserve">For example, the Healthy Wigan Partnership </w:t>
      </w:r>
      <w:r w:rsidR="00AC6D08">
        <w:t xml:space="preserve">is </w:t>
      </w:r>
      <w:r>
        <w:t>aimed at reducing health inequalities in one of the most economically deprived areas of the country</w:t>
      </w:r>
      <w:r w:rsidR="00AC6D08">
        <w:t xml:space="preserve">, and </w:t>
      </w:r>
      <w:r>
        <w:t>is a partnership of primary care, community services, early years, mental health and public health services.</w:t>
      </w:r>
      <w:r>
        <w:rPr>
          <w:vertAlign w:val="superscript"/>
        </w:rPr>
        <w:t>19</w:t>
      </w:r>
      <w:r w:rsidRPr="0029639B" w:rsidDel="00AF0DD7">
        <w:rPr>
          <w:highlight w:val="cyan"/>
        </w:rPr>
        <w:t xml:space="preserve"> </w:t>
      </w:r>
      <w:r>
        <w:t xml:space="preserve"> </w:t>
      </w:r>
      <w:r w:rsidRPr="002145F8">
        <w:t>It is also hypothesised that new way</w:t>
      </w:r>
      <w:r>
        <w:t xml:space="preserve">s </w:t>
      </w:r>
      <w:r w:rsidRPr="002145F8">
        <w:t>of working not only ha</w:t>
      </w:r>
      <w:r>
        <w:t>ve</w:t>
      </w:r>
      <w:r w:rsidRPr="002145F8">
        <w:t xml:space="preserve"> the potential to improve health outcomes, </w:t>
      </w:r>
      <w:r>
        <w:t>they</w:t>
      </w:r>
      <w:r w:rsidRPr="002145F8">
        <w:t xml:space="preserve"> may also have positive influences on cost effectiveness</w:t>
      </w:r>
      <w:r>
        <w:t>, due to reducing the amount of structural re-organisation through a focus on place</w:t>
      </w:r>
      <w:r w:rsidR="00AC6D08">
        <w:t>.</w:t>
      </w:r>
      <w:r>
        <w:rPr>
          <w:vertAlign w:val="superscript"/>
        </w:rPr>
        <w:t xml:space="preserve">20 </w:t>
      </w:r>
      <w:r>
        <w:t>For example, a place-based working pilot in a small rural market town in the North of England fitted within existing service delivery remits, avoiding any reorganisations, and, therefore, had the potential to reduce health inequities despite austerity measures, according to key stakeholders</w:t>
      </w:r>
      <w:r>
        <w:rPr>
          <w:vertAlign w:val="superscript"/>
        </w:rPr>
        <w:t>20</w:t>
      </w:r>
      <w:r>
        <w:t>.</w:t>
      </w:r>
      <w:r w:rsidRPr="002145F8">
        <w:t xml:space="preserve"> These</w:t>
      </w:r>
      <w:r>
        <w:t xml:space="preserve"> approaches typically only impact the individuals and communities that engage within the methods and there has been limited evidence around the sustainability of the approach</w:t>
      </w:r>
      <w:r w:rsidR="00AC6D08">
        <w:t>.</w:t>
      </w:r>
    </w:p>
    <w:p w:rsidRPr="00696768" w:rsidR="0089037E" w:rsidP="0089037E" w:rsidRDefault="0089037E" w14:paraId="1AA35237" w14:textId="58DC1DA0">
      <w:pPr>
        <w:autoSpaceDE w:val="0"/>
        <w:autoSpaceDN w:val="0"/>
        <w:adjustRightInd w:val="0"/>
        <w:spacing w:line="240" w:lineRule="auto"/>
      </w:pPr>
      <w:r>
        <w:t>P</w:t>
      </w:r>
      <w:r w:rsidRPr="008E6B29">
        <w:t>roportionate universalism</w:t>
      </w:r>
      <w:r>
        <w:t xml:space="preserve"> </w:t>
      </w:r>
      <w:r w:rsidRPr="008E6B29">
        <w:t>is a recommended approach</w:t>
      </w:r>
      <w:r w:rsidRPr="00696768">
        <w:rPr>
          <w:vertAlign w:val="superscript"/>
        </w:rPr>
        <w:t>19</w:t>
      </w:r>
      <w:r w:rsidRPr="00696768">
        <w:t xml:space="preserve">, </w:t>
      </w:r>
      <w:r>
        <w:t>though t</w:t>
      </w:r>
      <w:r w:rsidRPr="008E6B29">
        <w:t>here has been limited evaluation</w:t>
      </w:r>
      <w:r>
        <w:t xml:space="preserve">, and there is limited evidence of the </w:t>
      </w:r>
      <w:r w:rsidRPr="008E6B29">
        <w:t xml:space="preserve">impact </w:t>
      </w:r>
      <w:r>
        <w:t>and</w:t>
      </w:r>
      <w:r w:rsidRPr="00696768">
        <w:t xml:space="preserve"> extent of </w:t>
      </w:r>
      <w:r>
        <w:t xml:space="preserve">sustained </w:t>
      </w:r>
      <w:r w:rsidRPr="00696768">
        <w:t>improvements in health inequalities</w:t>
      </w:r>
      <w:r>
        <w:t xml:space="preserve">. </w:t>
      </w:r>
      <w:r w:rsidRPr="00E26E5B">
        <w:t>This remains a recommended approach as the policy aim should not just be to improve the conditions of those worst off but also those who are relatively disadvantaged and proportionate universalism could achieve this.</w:t>
      </w:r>
      <w:r w:rsidRPr="00E26E5B">
        <w:rPr>
          <w:vertAlign w:val="superscript"/>
        </w:rPr>
        <w:t>20</w:t>
      </w:r>
      <w:r w:rsidRPr="00E26E5B">
        <w:t xml:space="preserve"> However, the lack of evidence of the effectiveness of this approach means that this</w:t>
      </w:r>
      <w:r w:rsidR="0010265E">
        <w:t xml:space="preserve"> is</w:t>
      </w:r>
      <w:r w:rsidRPr="00E26E5B">
        <w:t xml:space="preserve"> an area</w:t>
      </w:r>
      <w:r w:rsidR="009F3B5D">
        <w:t xml:space="preserve"> that would benefit from</w:t>
      </w:r>
      <w:r w:rsidRPr="00E26E5B">
        <w:t xml:space="preserve"> further research.</w:t>
      </w:r>
      <w:r>
        <w:rPr>
          <w:highlight w:val="cyan"/>
        </w:rPr>
        <w:t xml:space="preserve"> </w:t>
      </w:r>
      <w:r w:rsidRPr="00696768">
        <w:t xml:space="preserve"> </w:t>
      </w:r>
    </w:p>
    <w:p w:rsidR="0089037E" w:rsidP="0089037E" w:rsidRDefault="0089037E" w14:paraId="0695D190" w14:textId="7DF9D037">
      <w:pPr>
        <w:autoSpaceDE w:val="0"/>
        <w:autoSpaceDN w:val="0"/>
        <w:adjustRightInd w:val="0"/>
        <w:spacing w:line="240" w:lineRule="auto"/>
      </w:pPr>
      <w:r w:rsidRPr="00696768">
        <w:t>The Champs Prevention programme</w:t>
      </w:r>
      <w:r>
        <w:t>, being implemented by the public health teams in Cheshire and Merseyside,</w:t>
      </w:r>
      <w:r w:rsidRPr="00696768">
        <w:rPr>
          <w:vertAlign w:val="superscript"/>
        </w:rPr>
        <w:t>21</w:t>
      </w:r>
      <w:r w:rsidRPr="00696768">
        <w:t xml:space="preserve"> came up in </w:t>
      </w:r>
      <w:r>
        <w:t xml:space="preserve">multiple </w:t>
      </w:r>
      <w:r w:rsidRPr="00696768">
        <w:t>case studies within the literature</w:t>
      </w:r>
      <w:r>
        <w:t xml:space="preserve"> and is an alternative </w:t>
      </w:r>
      <w:r w:rsidRPr="00696768">
        <w:t xml:space="preserve">approach for addressing health inequalities. </w:t>
      </w:r>
      <w:r>
        <w:t xml:space="preserve">It </w:t>
      </w:r>
      <w:r w:rsidRPr="00696768">
        <w:t xml:space="preserve">is focused on tackling a number of high-level </w:t>
      </w:r>
      <w:r>
        <w:t xml:space="preserve">universal </w:t>
      </w:r>
      <w:r w:rsidRPr="00696768">
        <w:t>prioritie</w:t>
      </w:r>
      <w:r>
        <w:t xml:space="preserve">s </w:t>
      </w:r>
      <w:r w:rsidRPr="00696768">
        <w:t>that are common to every area, such as high blood pressure, mental health and wellbeing</w:t>
      </w:r>
      <w:r w:rsidR="00CB40B8">
        <w:t>,</w:t>
      </w:r>
      <w:r w:rsidRPr="00696768">
        <w:t xml:space="preserve"> and reducing alcohol harm</w:t>
      </w:r>
      <w:r w:rsidR="00CB40B8">
        <w:t>.</w:t>
      </w:r>
      <w:r>
        <w:t xml:space="preserve"> </w:t>
      </w:r>
      <w:r w:rsidR="00CB40B8">
        <w:t>T</w:t>
      </w:r>
      <w:r>
        <w:t>he programme has facilitated clearer messaging around early intervention, prevention and self-care</w:t>
      </w:r>
      <w:r w:rsidR="00C32150">
        <w:t xml:space="preserve">. </w:t>
      </w:r>
      <w:r>
        <w:t>However, t</w:t>
      </w:r>
      <w:r w:rsidRPr="00696768">
        <w:t>here has not been sufficient evaluation of this approach within the literat</w:t>
      </w:r>
      <w:r w:rsidRPr="008E6B29">
        <w:t xml:space="preserve">ure to comment on its efficacy. </w:t>
      </w:r>
    </w:p>
    <w:p w:rsidRPr="006C28CC" w:rsidR="006C28CC" w:rsidP="0089037E" w:rsidRDefault="006C28CC" w14:paraId="6A8574A4" w14:textId="5E9CE0C8">
      <w:pPr>
        <w:autoSpaceDE w:val="0"/>
        <w:autoSpaceDN w:val="0"/>
        <w:adjustRightInd w:val="0"/>
        <w:spacing w:line="240" w:lineRule="auto"/>
        <w:rPr>
          <w:b/>
          <w:bCs/>
        </w:rPr>
      </w:pPr>
      <w:r w:rsidRPr="006C28CC">
        <w:rPr>
          <w:b/>
          <w:bCs/>
        </w:rPr>
        <w:t>What are the different methods that are used to address health inequalities within a local area</w:t>
      </w:r>
    </w:p>
    <w:p w:rsidR="0089037E" w:rsidP="0089037E" w:rsidRDefault="0089037E" w14:paraId="1B926E4B" w14:textId="232C4EE2">
      <w:r w:rsidRPr="00EC0502">
        <w:t xml:space="preserve">A significant number of methods </w:t>
      </w:r>
      <w:r>
        <w:t xml:space="preserve">in the literature </w:t>
      </w:r>
      <w:r w:rsidRPr="00EC0502">
        <w:t>focus</w:t>
      </w:r>
      <w:r w:rsidR="006C28CC">
        <w:t>sed</w:t>
      </w:r>
      <w:r w:rsidRPr="00EC0502">
        <w:t xml:space="preserve"> on improving health outcomes more generally</w:t>
      </w:r>
      <w:r>
        <w:t xml:space="preserve"> (relative to the other areas which can address health inequalities such as improving access etc.), and the majority</w:t>
      </w:r>
      <w:r w:rsidRPr="0000398A">
        <w:t xml:space="preserve"> </w:t>
      </w:r>
      <w:r>
        <w:t xml:space="preserve">cited </w:t>
      </w:r>
      <w:r w:rsidRPr="00696768">
        <w:t xml:space="preserve">achieving at </w:t>
      </w:r>
      <w:r w:rsidRPr="00E636B3">
        <w:t xml:space="preserve">least some of their expected outcomes as a result of their </w:t>
      </w:r>
      <w:r>
        <w:t xml:space="preserve">methods, including </w:t>
      </w:r>
      <w:r w:rsidRPr="00E636B3">
        <w:t xml:space="preserve">participation outcomes </w:t>
      </w:r>
      <w:r w:rsidRPr="00BB0F7D">
        <w:t>(</w:t>
      </w:r>
      <w:r w:rsidRPr="00E26E5B">
        <w:t>e.g. recruitment, retention and completion of assessments</w:t>
      </w:r>
      <w:r w:rsidRPr="00E26E5B">
        <w:rPr>
          <w:vertAlign w:val="superscript"/>
        </w:rPr>
        <w:t xml:space="preserve">24 </w:t>
      </w:r>
      <w:r w:rsidRPr="00E26E5B">
        <w:t>)</w:t>
      </w:r>
      <w:r>
        <w:t xml:space="preserve"> </w:t>
      </w:r>
      <w:r w:rsidRPr="00E636B3">
        <w:t xml:space="preserve">and health-related outcomes (eg </w:t>
      </w:r>
      <w:r w:rsidR="003B5077">
        <w:t>Body Mass Index (</w:t>
      </w:r>
      <w:r w:rsidRPr="00E636B3">
        <w:t>BMI</w:t>
      </w:r>
      <w:r w:rsidR="003B5077">
        <w:t>)</w:t>
      </w:r>
      <w:r w:rsidRPr="00E636B3">
        <w:t>,</w:t>
      </w:r>
      <w:r w:rsidRPr="00E636B3">
        <w:rPr>
          <w:vertAlign w:val="superscript"/>
        </w:rPr>
        <w:t>27</w:t>
      </w:r>
      <w:r w:rsidRPr="00E636B3">
        <w:t xml:space="preserve"> life expectancy,</w:t>
      </w:r>
      <w:r w:rsidRPr="00E636B3">
        <w:rPr>
          <w:vertAlign w:val="superscript"/>
        </w:rPr>
        <w:t>27</w:t>
      </w:r>
      <w:r w:rsidRPr="00E636B3">
        <w:t xml:space="preserve"> </w:t>
      </w:r>
      <w:r>
        <w:t xml:space="preserve">and </w:t>
      </w:r>
      <w:r w:rsidRPr="00E636B3">
        <w:t>smoking status</w:t>
      </w:r>
      <w:r w:rsidRPr="00E636B3">
        <w:rPr>
          <w:vertAlign w:val="superscript"/>
        </w:rPr>
        <w:t>29</w:t>
      </w:r>
      <w:r w:rsidRPr="00E636B3">
        <w:t>).</w:t>
      </w:r>
    </w:p>
    <w:p w:rsidRPr="00696768" w:rsidR="0089037E" w:rsidP="0089037E" w:rsidRDefault="0089037E" w14:paraId="5B9E0152" w14:textId="342E235E">
      <w:r w:rsidRPr="00EC0502">
        <w:t xml:space="preserve">The most popular types </w:t>
      </w:r>
      <w:r w:rsidRPr="00EC0502" w:rsidR="003B5077">
        <w:t>o</w:t>
      </w:r>
      <w:r w:rsidR="003B5077">
        <w:t>f</w:t>
      </w:r>
      <w:r w:rsidRPr="00EC0502" w:rsidR="003B5077">
        <w:t xml:space="preserve"> </w:t>
      </w:r>
      <w:r w:rsidRPr="00EC0502">
        <w:t>methods related to improving health outcomes included:</w:t>
      </w:r>
    </w:p>
    <w:p w:rsidRPr="00696768" w:rsidR="0089037E" w:rsidP="00AF10D4" w:rsidRDefault="0089037E" w14:paraId="57A58AF8" w14:textId="06DB0176">
      <w:pPr>
        <w:pStyle w:val="ListParagraph"/>
        <w:numPr>
          <w:ilvl w:val="0"/>
          <w:numId w:val="19"/>
        </w:numPr>
      </w:pPr>
      <w:r w:rsidRPr="00696768">
        <w:rPr>
          <w:b/>
          <w:bCs/>
        </w:rPr>
        <w:t>Advice, guidance and signposting</w:t>
      </w:r>
      <w:r w:rsidRPr="00696768">
        <w:t xml:space="preserve"> (eg referrals to partner organisations who can support with wider determinants of health such as housing</w:t>
      </w:r>
      <w:r w:rsidRPr="00696768">
        <w:rPr>
          <w:vertAlign w:val="superscript"/>
        </w:rPr>
        <w:t>22</w:t>
      </w:r>
      <w:r w:rsidRPr="00696768">
        <w:t>, social prescribing based on individual’s needs</w:t>
      </w:r>
      <w:r w:rsidRPr="00696768">
        <w:rPr>
          <w:vertAlign w:val="superscript"/>
        </w:rPr>
        <w:t>23</w:t>
      </w:r>
      <w:r w:rsidRPr="00696768">
        <w:t>)</w:t>
      </w:r>
      <w:r>
        <w:t xml:space="preserve"> These methods can help increase individual’s access to the specific help that they need and lead to greater engagement.</w:t>
      </w:r>
      <w:r>
        <w:rPr>
          <w:vertAlign w:val="superscript"/>
        </w:rPr>
        <w:t>22</w:t>
      </w:r>
      <w:r w:rsidR="00AC6D08">
        <w:rPr>
          <w:vertAlign w:val="superscript"/>
        </w:rPr>
        <w:t xml:space="preserve">, </w:t>
      </w:r>
      <w:r>
        <w:rPr>
          <w:vertAlign w:val="superscript"/>
        </w:rPr>
        <w:t>23</w:t>
      </w:r>
      <w:r>
        <w:t xml:space="preserve"> They are particularly helpful for those with multiple needs. </w:t>
      </w:r>
      <w:r>
        <w:rPr>
          <w:vertAlign w:val="superscript"/>
        </w:rPr>
        <w:t>22</w:t>
      </w:r>
      <w:r w:rsidR="00AC6D08">
        <w:rPr>
          <w:vertAlign w:val="superscript"/>
        </w:rPr>
        <w:t xml:space="preserve">, </w:t>
      </w:r>
      <w:r>
        <w:rPr>
          <w:vertAlign w:val="superscript"/>
        </w:rPr>
        <w:t>23</w:t>
      </w:r>
    </w:p>
    <w:p w:rsidRPr="00696768" w:rsidR="0089037E" w:rsidP="00AF10D4" w:rsidRDefault="0089037E" w14:paraId="04D12051" w14:textId="3FBE9C57">
      <w:pPr>
        <w:pStyle w:val="ListParagraph"/>
        <w:numPr>
          <w:ilvl w:val="0"/>
          <w:numId w:val="19"/>
        </w:numPr>
      </w:pPr>
      <w:r w:rsidRPr="00696768">
        <w:rPr>
          <w:b/>
          <w:bCs/>
        </w:rPr>
        <w:t xml:space="preserve">Training and education programmes </w:t>
      </w:r>
      <w:r w:rsidRPr="00696768">
        <w:t>(eg education programme</w:t>
      </w:r>
      <w:r>
        <w:t>s</w:t>
      </w:r>
      <w:r w:rsidRPr="00696768">
        <w:t xml:space="preserve"> to promote physical activity for older women</w:t>
      </w:r>
      <w:r w:rsidRPr="00696768">
        <w:rPr>
          <w:vertAlign w:val="superscript"/>
        </w:rPr>
        <w:t>24</w:t>
      </w:r>
      <w:r w:rsidRPr="00696768">
        <w:t xml:space="preserve"> training programme to support young people into employment</w:t>
      </w:r>
      <w:r w:rsidRPr="00696768">
        <w:rPr>
          <w:vertAlign w:val="superscript"/>
        </w:rPr>
        <w:t>22</w:t>
      </w:r>
      <w:r w:rsidRPr="00696768">
        <w:t xml:space="preserve">); </w:t>
      </w:r>
      <w:r>
        <w:t>These programmes can provide practical and emotional support and lead to greater understanding of the options available to individuals, which can lead to improved outcomes.</w:t>
      </w:r>
      <w:r>
        <w:rPr>
          <w:vertAlign w:val="superscript"/>
        </w:rPr>
        <w:t>22</w:t>
      </w:r>
      <w:r w:rsidR="00AC6D08">
        <w:rPr>
          <w:vertAlign w:val="superscript"/>
        </w:rPr>
        <w:t xml:space="preserve">, </w:t>
      </w:r>
      <w:r>
        <w:rPr>
          <w:vertAlign w:val="superscript"/>
        </w:rPr>
        <w:t>24</w:t>
      </w:r>
    </w:p>
    <w:p w:rsidRPr="00696768" w:rsidR="0089037E" w:rsidP="00AF10D4" w:rsidRDefault="0089037E" w14:paraId="65D17D32" w14:textId="2548A590">
      <w:pPr>
        <w:pStyle w:val="ListParagraph"/>
        <w:numPr>
          <w:ilvl w:val="0"/>
          <w:numId w:val="19"/>
        </w:numPr>
      </w:pPr>
      <w:r w:rsidRPr="00696768">
        <w:rPr>
          <w:b/>
          <w:bCs/>
        </w:rPr>
        <w:t xml:space="preserve">Social / Leisure and engagement programmes </w:t>
      </w:r>
      <w:r w:rsidRPr="00696768">
        <w:t>(eg a community based music intervention to improve the wellbeing of young people,</w:t>
      </w:r>
      <w:r w:rsidRPr="00696768">
        <w:rPr>
          <w:vertAlign w:val="superscript"/>
        </w:rPr>
        <w:t>25</w:t>
      </w:r>
      <w:r w:rsidRPr="00696768">
        <w:t xml:space="preserve"> arts / nature based interventions to improve the health outcomes of people with </w:t>
      </w:r>
      <w:r w:rsidRPr="000F7A4D">
        <w:t>long-term conditions</w:t>
      </w:r>
      <w:r w:rsidRPr="00696768">
        <w:rPr>
          <w:vertAlign w:val="superscript"/>
        </w:rPr>
        <w:t>2</w:t>
      </w:r>
      <w:r w:rsidRPr="000F7A4D">
        <w:rPr>
          <w:vertAlign w:val="superscript"/>
        </w:rPr>
        <w:t>3</w:t>
      </w:r>
      <w:r w:rsidRPr="00696768">
        <w:t xml:space="preserve">); </w:t>
      </w:r>
      <w:r>
        <w:t>These programmes lead to greater self-confidence for the participants which in turn leads to better health outcomes such as weight loss and improved mental health.</w:t>
      </w:r>
      <w:r>
        <w:rPr>
          <w:vertAlign w:val="superscript"/>
        </w:rPr>
        <w:t>23,25</w:t>
      </w:r>
      <w:r>
        <w:t xml:space="preserve"> These programmes are particularly helpful for those individuals who suffer from social isolation. </w:t>
      </w:r>
      <w:r>
        <w:rPr>
          <w:vertAlign w:val="superscript"/>
        </w:rPr>
        <w:t>23,</w:t>
      </w:r>
      <w:r w:rsidR="00AC6D08">
        <w:rPr>
          <w:vertAlign w:val="superscript"/>
        </w:rPr>
        <w:t xml:space="preserve"> </w:t>
      </w:r>
      <w:r>
        <w:rPr>
          <w:vertAlign w:val="superscript"/>
        </w:rPr>
        <w:t>25</w:t>
      </w:r>
      <w:r w:rsidR="00AC6D08">
        <w:rPr>
          <w:vertAlign w:val="superscript"/>
        </w:rPr>
        <w:t xml:space="preserve"> </w:t>
      </w:r>
      <w:r w:rsidRPr="00696768">
        <w:t>and</w:t>
      </w:r>
      <w:r>
        <w:t xml:space="preserve"> </w:t>
      </w:r>
    </w:p>
    <w:p w:rsidRPr="00696768" w:rsidR="0089037E" w:rsidP="00AF10D4" w:rsidRDefault="0089037E" w14:paraId="30BCC2BA" w14:textId="77777777">
      <w:pPr>
        <w:pStyle w:val="ListParagraph"/>
        <w:numPr>
          <w:ilvl w:val="0"/>
          <w:numId w:val="19"/>
        </w:numPr>
      </w:pPr>
      <w:r w:rsidRPr="00696768">
        <w:rPr>
          <w:b/>
          <w:bCs/>
        </w:rPr>
        <w:t xml:space="preserve">Wider system change </w:t>
      </w:r>
      <w:r w:rsidRPr="00696768">
        <w:t>(eg urban regeneration activities focussed on addressing health inequalities,</w:t>
      </w:r>
      <w:r w:rsidRPr="00696768">
        <w:rPr>
          <w:vertAlign w:val="superscript"/>
        </w:rPr>
        <w:t>26</w:t>
      </w:r>
      <w:r w:rsidRPr="00696768">
        <w:t xml:space="preserve"> ethical lettings agreements with providers in a local area</w:t>
      </w:r>
      <w:r w:rsidRPr="00696768">
        <w:rPr>
          <w:vertAlign w:val="superscript"/>
        </w:rPr>
        <w:t>19</w:t>
      </w:r>
      <w:r w:rsidRPr="00696768">
        <w:t>)</w:t>
      </w:r>
      <w:r>
        <w:t xml:space="preserve"> These changes improve individual’s mental and physical health by improving their living conditions, particularly those in deprived areas</w:t>
      </w:r>
      <w:r>
        <w:rPr>
          <w:vertAlign w:val="superscript"/>
        </w:rPr>
        <w:t>37</w:t>
      </w:r>
      <w:r>
        <w:t xml:space="preserve">. </w:t>
      </w:r>
    </w:p>
    <w:p w:rsidR="0089037E" w:rsidP="0089037E" w:rsidRDefault="0089037E" w14:paraId="5487320F" w14:textId="1D5CF841">
      <w:pPr>
        <w:autoSpaceDE w:val="0"/>
        <w:autoSpaceDN w:val="0"/>
        <w:adjustRightInd w:val="0"/>
        <w:spacing w:after="0" w:line="240" w:lineRule="auto"/>
      </w:pPr>
      <w:r w:rsidRPr="00E636B3">
        <w:t xml:space="preserve">Alternative services models were also a popular </w:t>
      </w:r>
      <w:r>
        <w:t>method</w:t>
      </w:r>
      <w:r w:rsidRPr="00E636B3">
        <w:t xml:space="preserve"> type for improving access to health and care services. Many of the </w:t>
      </w:r>
      <w:r>
        <w:t>method</w:t>
      </w:r>
      <w:r w:rsidRPr="00E636B3">
        <w:t xml:space="preserve">s aimed to address the barriers for access. Examples of such </w:t>
      </w:r>
      <w:r>
        <w:t>method</w:t>
      </w:r>
      <w:r w:rsidRPr="00E636B3">
        <w:t>s include: tele-pharmacy</w:t>
      </w:r>
      <w:r>
        <w:t xml:space="preserve"> </w:t>
      </w:r>
      <w:r w:rsidRPr="00E636B3">
        <w:t>for those living in rural areas</w:t>
      </w:r>
      <w:r w:rsidRPr="00E636B3">
        <w:rPr>
          <w:vertAlign w:val="superscript"/>
        </w:rPr>
        <w:t>30</w:t>
      </w:r>
      <w:r w:rsidRPr="00E636B3">
        <w:t xml:space="preserve">, use of </w:t>
      </w:r>
      <w:r>
        <w:t>interpretation</w:t>
      </w:r>
      <w:r w:rsidRPr="00E636B3">
        <w:t xml:space="preserve"> services</w:t>
      </w:r>
      <w:r w:rsidRPr="00E636B3">
        <w:rPr>
          <w:vertAlign w:val="superscript"/>
        </w:rPr>
        <w:t>31</w:t>
      </w:r>
      <w:r w:rsidRPr="00E636B3">
        <w:t xml:space="preserve"> and using methods such as extended consultations for people with multimorbidity complex care needs.</w:t>
      </w:r>
      <w:r w:rsidRPr="000F7A4D">
        <w:rPr>
          <w:vertAlign w:val="superscript"/>
        </w:rPr>
        <w:t>18</w:t>
      </w:r>
    </w:p>
    <w:p w:rsidRPr="00E636B3" w:rsidR="0089037E" w:rsidP="0089037E" w:rsidRDefault="0089037E" w14:paraId="61985724" w14:textId="77777777">
      <w:pPr>
        <w:autoSpaceDE w:val="0"/>
        <w:autoSpaceDN w:val="0"/>
        <w:adjustRightInd w:val="0"/>
        <w:spacing w:after="0" w:line="240" w:lineRule="auto"/>
      </w:pPr>
    </w:p>
    <w:p w:rsidR="0089037E" w:rsidP="0089037E" w:rsidRDefault="0089037E" w14:paraId="2C53FD49" w14:textId="77777777">
      <w:r>
        <w:t>The literature suggests a</w:t>
      </w:r>
      <w:r w:rsidRPr="00E636B3">
        <w:t>ddress</w:t>
      </w:r>
      <w:r>
        <w:t>ing</w:t>
      </w:r>
      <w:r w:rsidRPr="00E636B3">
        <w:t xml:space="preserve"> both mental and physical health</w:t>
      </w:r>
      <w:r>
        <w:t xml:space="preserve"> with methods and approaches</w:t>
      </w:r>
      <w:r w:rsidRPr="00E636B3">
        <w:t xml:space="preserve">, recognising that these two types of health can be interlinked and emphasising the importance of a holistic approach in addressing health inequalities. </w:t>
      </w:r>
    </w:p>
    <w:p w:rsidRPr="00E636B3" w:rsidR="0089037E" w:rsidP="0089037E" w:rsidRDefault="0089037E" w14:paraId="2D28A101" w14:textId="2B779B08">
      <w:r w:rsidRPr="00E636B3">
        <w:t xml:space="preserve">There was often a lack of clarity within the </w:t>
      </w:r>
      <w:r w:rsidR="00A63C39">
        <w:t xml:space="preserve">literature </w:t>
      </w:r>
      <w:r>
        <w:t>in</w:t>
      </w:r>
      <w:r w:rsidRPr="00E636B3">
        <w:t xml:space="preserve"> terms of the length of an intervention</w:t>
      </w:r>
      <w:r>
        <w:t xml:space="preserve"> method</w:t>
      </w:r>
      <w:r w:rsidRPr="00E636B3">
        <w:t>,</w:t>
      </w:r>
      <w:r>
        <w:t xml:space="preserve"> but the majority of those methods which did state their length were over one year</w:t>
      </w:r>
      <w:r w:rsidRPr="00E636B3">
        <w:t>.</w:t>
      </w:r>
      <w:r>
        <w:t xml:space="preserve"> Method</w:t>
      </w:r>
      <w:r w:rsidRPr="00E636B3">
        <w:t xml:space="preserve">s </w:t>
      </w:r>
      <w:r>
        <w:t xml:space="preserve">often have not </w:t>
      </w:r>
      <w:r w:rsidRPr="00E636B3">
        <w:t xml:space="preserve">been evaluated, </w:t>
      </w:r>
      <w:r>
        <w:t>and</w:t>
      </w:r>
      <w:r w:rsidRPr="00E636B3">
        <w:t xml:space="preserve"> approaches to evaluation rang</w:t>
      </w:r>
      <w:r>
        <w:t>ed</w:t>
      </w:r>
      <w:r w:rsidRPr="00E636B3">
        <w:t xml:space="preserve"> in</w:t>
      </w:r>
      <w:r>
        <w:t xml:space="preserve"> level of </w:t>
      </w:r>
      <w:r w:rsidRPr="00E636B3">
        <w:t>robustness. Th</w:t>
      </w:r>
      <w:r>
        <w:t>e</w:t>
      </w:r>
      <w:r w:rsidRPr="00E636B3">
        <w:t xml:space="preserve"> literature </w:t>
      </w:r>
      <w:r>
        <w:t xml:space="preserve">does however </w:t>
      </w:r>
      <w:r w:rsidRPr="00E636B3">
        <w:t>include systematic reviews (3)</w:t>
      </w:r>
      <w:r w:rsidRPr="00E636B3">
        <w:rPr>
          <w:vertAlign w:val="superscript"/>
        </w:rPr>
        <w:t>32-34</w:t>
      </w:r>
      <w:r w:rsidRPr="00E636B3">
        <w:t>, randomised controlled trials (4)</w:t>
      </w:r>
      <w:r w:rsidRPr="00E636B3">
        <w:rPr>
          <w:vertAlign w:val="superscript"/>
        </w:rPr>
        <w:t>27,29,35-36</w:t>
      </w:r>
      <w:r w:rsidRPr="00E636B3">
        <w:t>, quasi-experimental methods (3)</w:t>
      </w:r>
      <w:r w:rsidRPr="00E636B3">
        <w:rPr>
          <w:vertAlign w:val="superscript"/>
        </w:rPr>
        <w:t xml:space="preserve"> 37-39</w:t>
      </w:r>
      <w:r w:rsidRPr="00E636B3">
        <w:t xml:space="preserve"> and other evaluation methods (4) </w:t>
      </w:r>
      <w:r w:rsidRPr="00E636B3">
        <w:rPr>
          <w:vertAlign w:val="superscript"/>
        </w:rPr>
        <w:t>30,40-42</w:t>
      </w:r>
      <w:r>
        <w:t xml:space="preserve">, and </w:t>
      </w:r>
      <w:r w:rsidRPr="00E636B3">
        <w:t xml:space="preserve">there </w:t>
      </w:r>
      <w:r>
        <w:t>is s</w:t>
      </w:r>
      <w:r w:rsidRPr="00E636B3">
        <w:t xml:space="preserve">ome evidence to suggest </w:t>
      </w:r>
      <w:r>
        <w:t>p</w:t>
      </w:r>
      <w:r w:rsidRPr="00E636B3">
        <w:t>ositive impact on health inequalities</w:t>
      </w:r>
      <w:r>
        <w:t xml:space="preserve"> and/or</w:t>
      </w:r>
      <w:r w:rsidRPr="00E636B3">
        <w:t xml:space="preserve"> value-for-money</w:t>
      </w:r>
      <w:r>
        <w:t xml:space="preserve">. This is </w:t>
      </w:r>
      <w:r w:rsidRPr="00E636B3">
        <w:t>commonly suggested as the focus for subsequent evaluation activity</w:t>
      </w:r>
      <w:r>
        <w:t>:</w:t>
      </w:r>
    </w:p>
    <w:p w:rsidR="0089037E" w:rsidP="0089037E" w:rsidRDefault="0089037E" w14:paraId="0AB561C8" w14:textId="77777777">
      <w:pPr>
        <w:rPr>
          <w:i/>
          <w:iCs/>
        </w:rPr>
      </w:pPr>
      <w:r w:rsidRPr="00E26E5B">
        <w:t xml:space="preserve">For example, a pilot </w:t>
      </w:r>
      <w:r>
        <w:t>study aimed at</w:t>
      </w:r>
      <w:r w:rsidRPr="00E26E5B">
        <w:t xml:space="preserve"> reduc</w:t>
      </w:r>
      <w:r>
        <w:t>ing</w:t>
      </w:r>
      <w:r w:rsidRPr="00E26E5B">
        <w:t xml:space="preserve"> smoking among Pakistani and Bangladeshi men that </w:t>
      </w:r>
      <w:r>
        <w:t>included</w:t>
      </w:r>
      <w:r w:rsidRPr="00E26E5B">
        <w:t xml:space="preserve"> trained community outreach workers found that</w:t>
      </w:r>
      <w:r>
        <w:rPr>
          <w:i/>
          <w:iCs/>
        </w:rPr>
        <w:t xml:space="preserve">: </w:t>
      </w:r>
    </w:p>
    <w:p w:rsidRPr="00E636B3" w:rsidR="0089037E" w:rsidP="006C28CC" w:rsidRDefault="0089037E" w14:paraId="00E3DAB9" w14:textId="1470F20F">
      <w:pPr>
        <w:ind w:firstLine="360"/>
      </w:pPr>
      <w:r w:rsidRPr="00E636B3">
        <w:rPr>
          <w:i/>
          <w:iCs/>
        </w:rPr>
        <w:t>“The outreach worker model has the potential to increase community cessation rates and could prove cost-effective, but needs evaluating definitively in a larger, appropriately powered, randomised controlled trial. These future trials of outreach interventions need to be of sufficient duration to allow embedding of new models of service delivery”.</w:t>
      </w:r>
      <w:r w:rsidRPr="00E636B3">
        <w:rPr>
          <w:vertAlign w:val="superscript"/>
        </w:rPr>
        <w:t>35</w:t>
      </w:r>
    </w:p>
    <w:p w:rsidR="0089037E" w:rsidP="0089037E" w:rsidRDefault="0089037E" w14:paraId="404AA37A" w14:textId="77777777">
      <w:pPr>
        <w:pStyle w:val="Heading3Numb"/>
        <w:tabs>
          <w:tab w:val="clear" w:pos="794"/>
        </w:tabs>
      </w:pPr>
      <w:bookmarkStart w:name="_Toc139619163" w:id="108"/>
      <w:r>
        <w:t>A</w:t>
      </w:r>
      <w:r w:rsidRPr="00E636B3">
        <w:t xml:space="preserve">re </w:t>
      </w:r>
      <w:r>
        <w:t>methods</w:t>
      </w:r>
      <w:r w:rsidRPr="00E636B3">
        <w:t xml:space="preserve"> / approaches aimed at addressing health inequalities generic or specific to specific communities or types of area (eg inner city, rural, coastal)?</w:t>
      </w:r>
      <w:bookmarkEnd w:id="108"/>
    </w:p>
    <w:p w:rsidRPr="00E26E5B" w:rsidR="0089037E" w:rsidP="0089037E" w:rsidRDefault="0089037E" w14:paraId="0A6E68F9" w14:textId="77777777">
      <w:pPr>
        <w:spacing w:after="120"/>
      </w:pPr>
      <w:r>
        <w:t>T</w:t>
      </w:r>
      <w:r w:rsidRPr="00E26E5B">
        <w:t>here were mixed specificity of methods in relation to target populations</w:t>
      </w:r>
      <w:r>
        <w:t xml:space="preserve"> and in </w:t>
      </w:r>
      <w:r w:rsidRPr="00E26E5B">
        <w:t xml:space="preserve">order to address health inequalities, local areas should consider the specificity of the interventions required based on: </w:t>
      </w:r>
    </w:p>
    <w:p w:rsidRPr="00E26E5B" w:rsidR="0089037E" w:rsidP="00AF10D4" w:rsidRDefault="0089037E" w14:paraId="48BDDBBE" w14:textId="77777777">
      <w:pPr>
        <w:pStyle w:val="ListParagraph"/>
        <w:numPr>
          <w:ilvl w:val="0"/>
          <w:numId w:val="31"/>
        </w:numPr>
        <w:spacing w:after="120"/>
      </w:pPr>
      <w:r w:rsidRPr="00E26E5B">
        <w:t>their local area population;</w:t>
      </w:r>
    </w:p>
    <w:p w:rsidRPr="00E26E5B" w:rsidR="0089037E" w:rsidP="00AF10D4" w:rsidRDefault="0089037E" w14:paraId="36A3E636" w14:textId="77777777">
      <w:pPr>
        <w:pStyle w:val="ListParagraph"/>
        <w:numPr>
          <w:ilvl w:val="0"/>
          <w:numId w:val="31"/>
        </w:numPr>
        <w:spacing w:after="120"/>
      </w:pPr>
      <w:r w:rsidRPr="00E26E5B">
        <w:t xml:space="preserve">the geographic coverage of these areas; and </w:t>
      </w:r>
    </w:p>
    <w:p w:rsidRPr="00455B5D" w:rsidR="0089037E" w:rsidP="00AF10D4" w:rsidRDefault="0089037E" w14:paraId="48C36575" w14:textId="77777777">
      <w:pPr>
        <w:pStyle w:val="ListParagraph"/>
        <w:numPr>
          <w:ilvl w:val="0"/>
          <w:numId w:val="31"/>
        </w:numPr>
        <w:spacing w:after="120"/>
      </w:pPr>
      <w:r w:rsidRPr="00E26E5B">
        <w:t>the specificity of other interventions / existing services within the local area.</w:t>
      </w:r>
    </w:p>
    <w:p w:rsidRPr="00E636B3" w:rsidR="0089037E" w:rsidP="0089037E" w:rsidRDefault="0089037E" w14:paraId="0B180A0E" w14:textId="1C1A5315">
      <w:pPr>
        <w:spacing w:after="120"/>
      </w:pPr>
      <w:bookmarkStart w:name="_Hlk139490478" w:id="109"/>
      <w:r>
        <w:t>Multiple case studies analysed by the Kings Fund suggest that public health institutions should</w:t>
      </w:r>
      <w:bookmarkEnd w:id="109"/>
      <w:r w:rsidRPr="00E636B3">
        <w:t xml:space="preserve"> “</w:t>
      </w:r>
      <w:r w:rsidRPr="00E636B3">
        <w:rPr>
          <w:i/>
          <w:iCs/>
        </w:rPr>
        <w:t>Improve targeting of those with multiple risk factor</w:t>
      </w:r>
      <w:r w:rsidRPr="00E636B3">
        <w:t>s”</w:t>
      </w:r>
      <w:r w:rsidRPr="00E636B3">
        <w:rPr>
          <w:vertAlign w:val="superscript"/>
        </w:rPr>
        <w:t>18</w:t>
      </w:r>
      <w:r w:rsidRPr="00E636B3">
        <w:t xml:space="preserve"> </w:t>
      </w:r>
      <w:r>
        <w:t xml:space="preserve">, whereas, the Marmot review recommends a focus on a </w:t>
      </w:r>
      <w:r w:rsidRPr="00E636B3">
        <w:t>proportionate universalism approach</w:t>
      </w:r>
      <w:r>
        <w:rPr>
          <w:vertAlign w:val="superscript"/>
        </w:rPr>
        <w:t>19</w:t>
      </w:r>
      <w:r w:rsidRPr="00E636B3">
        <w:t xml:space="preserve">. </w:t>
      </w:r>
      <w:r>
        <w:t>Method</w:t>
      </w:r>
      <w:r w:rsidRPr="00E636B3">
        <w:t>s / approaches</w:t>
      </w:r>
      <w:r>
        <w:t xml:space="preserve"> may be </w:t>
      </w:r>
      <w:r w:rsidRPr="00E636B3">
        <w:t>targeted based on protected characteristics defined in the Equality Act 2010 (eg age, ethnicity, disability status)</w:t>
      </w:r>
      <w:r>
        <w:t xml:space="preserve">, </w:t>
      </w:r>
      <w:r w:rsidRPr="00E26E5B">
        <w:t>such as the aforementioned pilot study that targeted the smoking habits of Pakistani and Bangladeshi men</w:t>
      </w:r>
      <w:r w:rsidRPr="00E26E5B">
        <w:rPr>
          <w:vertAlign w:val="superscript"/>
        </w:rPr>
        <w:t>35</w:t>
      </w:r>
      <w:r w:rsidRPr="00E636B3">
        <w:t xml:space="preserve">, </w:t>
      </w:r>
      <w:r>
        <w:t xml:space="preserve">or </w:t>
      </w:r>
      <w:r w:rsidRPr="00E636B3">
        <w:t>specific communities. Examples of specific communities include:</w:t>
      </w:r>
    </w:p>
    <w:p w:rsidRPr="00E636B3" w:rsidR="0089037E" w:rsidP="00AF10D4" w:rsidRDefault="0089037E" w14:paraId="344678AE" w14:textId="68907A29">
      <w:pPr>
        <w:pStyle w:val="ListParagraph"/>
        <w:numPr>
          <w:ilvl w:val="0"/>
          <w:numId w:val="18"/>
        </w:numPr>
        <w:spacing w:after="0"/>
        <w:ind w:left="714" w:hanging="357"/>
        <w:contextualSpacing w:val="0"/>
        <w:rPr>
          <w:rFonts w:cs="Arial"/>
          <w:szCs w:val="24"/>
        </w:rPr>
      </w:pPr>
      <w:r>
        <w:rPr>
          <w:rFonts w:cs="Arial"/>
          <w:szCs w:val="24"/>
        </w:rPr>
        <w:t xml:space="preserve">Mothers in the deprived London borough of Southwark. These women were provided with social support and health education as part of the </w:t>
      </w:r>
      <w:r w:rsidR="001A6EE6">
        <w:rPr>
          <w:rFonts w:cs="Arial"/>
          <w:szCs w:val="24"/>
        </w:rPr>
        <w:t>Parents and Children Together (</w:t>
      </w:r>
      <w:r>
        <w:rPr>
          <w:rFonts w:cs="Arial"/>
          <w:szCs w:val="24"/>
        </w:rPr>
        <w:t>PACT</w:t>
      </w:r>
      <w:r w:rsidR="001A6EE6">
        <w:rPr>
          <w:rFonts w:cs="Arial"/>
          <w:szCs w:val="24"/>
        </w:rPr>
        <w:t>)</w:t>
      </w:r>
      <w:r>
        <w:rPr>
          <w:rFonts w:cs="Arial"/>
          <w:szCs w:val="24"/>
        </w:rPr>
        <w:t xml:space="preserve"> Project. This led to improvements in their mental health and health literacy</w:t>
      </w:r>
      <w:r w:rsidR="003C37AA">
        <w:rPr>
          <w:rFonts w:cs="Arial"/>
          <w:szCs w:val="24"/>
        </w:rPr>
        <w:t xml:space="preserve"> (capacity</w:t>
      </w:r>
      <w:r w:rsidR="00706823">
        <w:rPr>
          <w:rFonts w:cs="Arial"/>
          <w:szCs w:val="24"/>
        </w:rPr>
        <w:t xml:space="preserve"> and capability</w:t>
      </w:r>
      <w:r w:rsidR="003C37AA">
        <w:rPr>
          <w:rFonts w:cs="Arial"/>
          <w:szCs w:val="24"/>
        </w:rPr>
        <w:t xml:space="preserve"> to</w:t>
      </w:r>
      <w:r w:rsidR="00706823">
        <w:rPr>
          <w:rFonts w:cs="Arial"/>
          <w:szCs w:val="24"/>
        </w:rPr>
        <w:t xml:space="preserve"> obtain,</w:t>
      </w:r>
      <w:r w:rsidR="003C37AA">
        <w:rPr>
          <w:rFonts w:cs="Arial"/>
          <w:szCs w:val="24"/>
        </w:rPr>
        <w:t xml:space="preserve"> understand and make </w:t>
      </w:r>
      <w:r w:rsidR="00706823">
        <w:rPr>
          <w:rFonts w:cs="Arial"/>
          <w:szCs w:val="24"/>
        </w:rPr>
        <w:t xml:space="preserve">appropriate </w:t>
      </w:r>
      <w:r w:rsidR="003C37AA">
        <w:rPr>
          <w:rFonts w:cs="Arial"/>
          <w:szCs w:val="24"/>
        </w:rPr>
        <w:t>decisions about health</w:t>
      </w:r>
      <w:r w:rsidR="00706823">
        <w:rPr>
          <w:rFonts w:cs="Arial"/>
          <w:szCs w:val="24"/>
        </w:rPr>
        <w:t xml:space="preserve"> </w:t>
      </w:r>
      <w:r w:rsidR="006866B8">
        <w:rPr>
          <w:rFonts w:cs="Arial"/>
          <w:szCs w:val="24"/>
        </w:rPr>
        <w:t>and treatment</w:t>
      </w:r>
      <w:r w:rsidR="003C37AA">
        <w:rPr>
          <w:rFonts w:cs="Arial"/>
          <w:szCs w:val="24"/>
        </w:rPr>
        <w:t>)</w:t>
      </w:r>
      <w:r>
        <w:rPr>
          <w:rFonts w:cs="Arial"/>
          <w:szCs w:val="24"/>
        </w:rPr>
        <w:t>. It also led to</w:t>
      </w:r>
      <w:r w:rsidR="006866B8">
        <w:rPr>
          <w:rFonts w:cs="Arial"/>
          <w:szCs w:val="24"/>
        </w:rPr>
        <w:t xml:space="preserve"> an</w:t>
      </w:r>
      <w:r>
        <w:rPr>
          <w:rFonts w:cs="Arial"/>
          <w:szCs w:val="24"/>
        </w:rPr>
        <w:t xml:space="preserve"> increase</w:t>
      </w:r>
      <w:r w:rsidR="006866B8">
        <w:rPr>
          <w:rFonts w:cs="Arial"/>
          <w:szCs w:val="24"/>
        </w:rPr>
        <w:t xml:space="preserve"> in </w:t>
      </w:r>
      <w:r>
        <w:rPr>
          <w:rFonts w:cs="Arial"/>
          <w:szCs w:val="24"/>
        </w:rPr>
        <w:t xml:space="preserve">engagement from those </w:t>
      </w:r>
      <w:r w:rsidR="006866B8">
        <w:rPr>
          <w:rFonts w:cs="Arial"/>
          <w:szCs w:val="24"/>
        </w:rPr>
        <w:t xml:space="preserve">less likely to </w:t>
      </w:r>
      <w:r>
        <w:rPr>
          <w:rFonts w:cs="Arial"/>
          <w:szCs w:val="24"/>
        </w:rPr>
        <w:t>access statutory health services</w:t>
      </w:r>
      <w:r w:rsidR="00AC6D08">
        <w:rPr>
          <w:rFonts w:cs="Arial"/>
          <w:szCs w:val="24"/>
        </w:rPr>
        <w:t xml:space="preserve">;  </w:t>
      </w:r>
      <w:r w:rsidRPr="00E636B3">
        <w:rPr>
          <w:rFonts w:cs="Arial"/>
          <w:szCs w:val="24"/>
        </w:rPr>
        <w:t xml:space="preserve">and </w:t>
      </w:r>
    </w:p>
    <w:p w:rsidRPr="00E636B3" w:rsidR="0089037E" w:rsidP="00AF10D4" w:rsidRDefault="0089037E" w14:paraId="0E906A87" w14:textId="41C3851E">
      <w:pPr>
        <w:pStyle w:val="ListParagraph"/>
        <w:numPr>
          <w:ilvl w:val="0"/>
          <w:numId w:val="18"/>
        </w:numPr>
        <w:ind w:left="714" w:hanging="357"/>
        <w:contextualSpacing w:val="0"/>
        <w:rPr>
          <w:rFonts w:cs="Arial"/>
          <w:szCs w:val="24"/>
        </w:rPr>
      </w:pPr>
      <w:r w:rsidRPr="00E636B3">
        <w:rPr>
          <w:rFonts w:cs="Arial"/>
          <w:szCs w:val="24"/>
        </w:rPr>
        <w:t>Older LGBT individuals within a care home environment.</w:t>
      </w:r>
      <w:r w:rsidRPr="00D1530A">
        <w:rPr>
          <w:rFonts w:cs="Arial"/>
          <w:szCs w:val="24"/>
        </w:rPr>
        <w:t xml:space="preserve"> </w:t>
      </w:r>
      <w:r>
        <w:rPr>
          <w:rFonts w:cs="Arial"/>
          <w:szCs w:val="24"/>
        </w:rPr>
        <w:t>As part of the Care Home Challenge action research project, an intervention was designed to increase the accessibility, inclusivity</w:t>
      </w:r>
      <w:r w:rsidR="006866B8">
        <w:rPr>
          <w:rFonts w:cs="Arial"/>
          <w:szCs w:val="24"/>
        </w:rPr>
        <w:t>,</w:t>
      </w:r>
      <w:r>
        <w:rPr>
          <w:rFonts w:cs="Arial"/>
          <w:szCs w:val="24"/>
        </w:rPr>
        <w:t xml:space="preserve"> and safety of residential care for older LGBT individuals. This included education for care home staff and managers as well as challenging the prejudicial beliefs of some staff members and this did lead to a </w:t>
      </w:r>
      <w:r w:rsidR="00C91723">
        <w:rPr>
          <w:rFonts w:cs="Arial"/>
          <w:szCs w:val="24"/>
        </w:rPr>
        <w:t xml:space="preserve">positive </w:t>
      </w:r>
      <w:r>
        <w:rPr>
          <w:rFonts w:cs="Arial"/>
          <w:szCs w:val="24"/>
        </w:rPr>
        <w:t>shift in their attitudes towards LGBT individuals.</w:t>
      </w:r>
      <w:r w:rsidRPr="00E636B3">
        <w:rPr>
          <w:rFonts w:cs="Arial"/>
          <w:szCs w:val="24"/>
          <w:vertAlign w:val="superscript"/>
        </w:rPr>
        <w:t>4</w:t>
      </w:r>
      <w:r>
        <w:rPr>
          <w:rFonts w:cs="Arial"/>
          <w:szCs w:val="24"/>
          <w:vertAlign w:val="superscript"/>
        </w:rPr>
        <w:t>2</w:t>
      </w:r>
    </w:p>
    <w:p w:rsidRPr="00E636B3" w:rsidR="0089037E" w:rsidP="0089037E" w:rsidRDefault="0089037E" w14:paraId="5553832D" w14:textId="37BA45A5">
      <w:r>
        <w:t>Many</w:t>
      </w:r>
      <w:r w:rsidRPr="00E636B3">
        <w:t xml:space="preserve"> also target</w:t>
      </w:r>
      <w:r>
        <w:t>ed</w:t>
      </w:r>
      <w:r w:rsidRPr="00E636B3">
        <w:t xml:space="preserve"> individuals or communities who were </w:t>
      </w:r>
      <w:r w:rsidRPr="00E636B3">
        <w:rPr>
          <w:rFonts w:cs="Arial"/>
          <w:szCs w:val="24"/>
        </w:rPr>
        <w:t>socio-economically disadvantaged</w:t>
      </w:r>
      <w:r w:rsidRPr="00E636B3">
        <w:t>. This was often determined using socio-economic methods such as English Indices of Multiple Deprivation (IMD)</w:t>
      </w:r>
      <w:r w:rsidRPr="00E636B3">
        <w:rPr>
          <w:vertAlign w:val="superscript"/>
        </w:rPr>
        <w:t>11</w:t>
      </w:r>
      <w:r w:rsidRPr="00E636B3">
        <w:t xml:space="preserve"> and socio-economic status groups.</w:t>
      </w:r>
      <w:r w:rsidRPr="000F7A4D">
        <w:rPr>
          <w:vertAlign w:val="superscript"/>
        </w:rPr>
        <w:t>40</w:t>
      </w:r>
      <w:r w:rsidRPr="00E636B3">
        <w:t xml:space="preserve"> </w:t>
      </w:r>
      <w:r>
        <w:t>For example, the Cancer Awareness roadshow targeted low socio-economic status areas as lack of awareness of cancer symptoms was particularly high amongst these groups</w:t>
      </w:r>
      <w:r w:rsidR="00C91723">
        <w:t>, and can lead to a late diagnosis</w:t>
      </w:r>
      <w:r>
        <w:t>.</w:t>
      </w:r>
      <w:r>
        <w:rPr>
          <w:vertAlign w:val="superscript"/>
        </w:rPr>
        <w:t>40</w:t>
      </w:r>
    </w:p>
    <w:p w:rsidRPr="00E636B3" w:rsidR="0089037E" w:rsidP="0089037E" w:rsidRDefault="0089037E" w14:paraId="7FDC2FC8" w14:textId="77777777">
      <w:r>
        <w:t>T</w:t>
      </w:r>
      <w:r w:rsidRPr="00E636B3">
        <w:t xml:space="preserve">he majority </w:t>
      </w:r>
      <w:r>
        <w:t xml:space="preserve">of the literature is </w:t>
      </w:r>
      <w:r w:rsidRPr="00E636B3">
        <w:t xml:space="preserve">focussed on urban or mixed </w:t>
      </w:r>
      <w:r>
        <w:t xml:space="preserve">(ie those containing both urban and rural areas) </w:t>
      </w:r>
      <w:r w:rsidRPr="00E636B3">
        <w:t xml:space="preserve">areas. </w:t>
      </w:r>
    </w:p>
    <w:p w:rsidRPr="005D2CDA" w:rsidR="0089037E" w:rsidP="0089037E" w:rsidRDefault="0089037E" w14:paraId="509AF726" w14:textId="77777777">
      <w:pPr>
        <w:spacing w:before="240"/>
      </w:pPr>
      <w:r>
        <w:t>Method</w:t>
      </w:r>
      <w:r w:rsidRPr="00E636B3">
        <w:t>s based in urban</w:t>
      </w:r>
      <w:r>
        <w:t xml:space="preserve"> or </w:t>
      </w:r>
      <w:r w:rsidRPr="00E636B3">
        <w:t xml:space="preserve">mixed areas were more diverse, with the focus </w:t>
      </w:r>
      <w:r>
        <w:t>method</w:t>
      </w:r>
      <w:r w:rsidRPr="00E636B3">
        <w:t xml:space="preserve">s mainly based on the specific community or the objective of the </w:t>
      </w:r>
      <w:r>
        <w:t>method</w:t>
      </w:r>
      <w:r w:rsidRPr="00E636B3">
        <w:t xml:space="preserve">. Within rural areas, </w:t>
      </w:r>
      <w:r>
        <w:t>method</w:t>
      </w:r>
      <w:r w:rsidRPr="00E636B3">
        <w:t>s were typically focussed on improving access to health and care services, such as issues around transport / travel distances.</w:t>
      </w:r>
      <w:r w:rsidRPr="00E636B3">
        <w:rPr>
          <w:vertAlign w:val="superscript"/>
        </w:rPr>
        <w:t>30</w:t>
      </w:r>
      <w:r>
        <w:t xml:space="preserve"> For example, one proof of concept study tested using tele-pharmacy to overcome the challenge of delivering community pharmacy services in a remote area of rural Scotland and found that over 80% of residents reported that they would use this service</w:t>
      </w:r>
      <w:r>
        <w:rPr>
          <w:vertAlign w:val="superscript"/>
        </w:rPr>
        <w:t>30</w:t>
      </w:r>
      <w:r>
        <w:t xml:space="preserve">. </w:t>
      </w:r>
    </w:p>
    <w:p w:rsidR="0089037E" w:rsidP="0089037E" w:rsidRDefault="0089037E" w14:paraId="2BB6432F" w14:textId="4B958ECF">
      <w:pPr>
        <w:pStyle w:val="Heading3Numb"/>
        <w:tabs>
          <w:tab w:val="clear" w:pos="794"/>
        </w:tabs>
      </w:pPr>
      <w:bookmarkStart w:name="_Toc139619164" w:id="110"/>
      <w:r>
        <w:t>Common conditions for success and areas of challenge</w:t>
      </w:r>
      <w:bookmarkEnd w:id="110"/>
    </w:p>
    <w:p w:rsidRPr="00014162" w:rsidR="0089037E" w:rsidP="0089037E" w:rsidRDefault="0089037E" w14:paraId="0A3C3985" w14:textId="77777777">
      <w:r>
        <w:t>A number of common conditions for success and areas of challenge have been identified.</w:t>
      </w:r>
      <w:r w:rsidRPr="00F10C38">
        <w:t xml:space="preserve"> Common success factors included joint / partnership working, resource that can work cross-organisational boundaries</w:t>
      </w:r>
      <w:r>
        <w:t>,</w:t>
      </w:r>
      <w:r w:rsidRPr="00F10C38">
        <w:t xml:space="preserve"> use of pre-existing physical and social structures</w:t>
      </w:r>
      <w:r>
        <w:t>,</w:t>
      </w:r>
      <w:r w:rsidRPr="00F10C38">
        <w:t xml:space="preserve"> and leveraging the use of anchor institutions, community and non-statutory organisations to support statutory health and care services.</w:t>
      </w:r>
      <w:r>
        <w:t xml:space="preserve"> These have been grouped based on the three themes for the assessment of ICS in the table below.</w:t>
      </w:r>
    </w:p>
    <w:p w:rsidRPr="003E51C0" w:rsidR="0089037E" w:rsidP="0089037E" w:rsidRDefault="0089037E" w14:paraId="437755D1" w14:textId="4DE3C770">
      <w:pPr>
        <w:rPr>
          <w:b/>
          <w:bCs/>
        </w:rPr>
      </w:pPr>
      <w:r w:rsidRPr="003E51C0">
        <w:rPr>
          <w:b/>
          <w:bCs/>
        </w:rPr>
        <w:t xml:space="preserve">Table </w:t>
      </w:r>
      <w:r w:rsidR="00CD2A86">
        <w:rPr>
          <w:b/>
          <w:bCs/>
        </w:rPr>
        <w:t>3</w:t>
      </w:r>
      <w:r w:rsidRPr="003E51C0">
        <w:rPr>
          <w:b/>
          <w:bCs/>
        </w:rPr>
        <w:t xml:space="preserve"> – Theme </w:t>
      </w:r>
      <w:r>
        <w:rPr>
          <w:b/>
          <w:bCs/>
        </w:rPr>
        <w:t>2</w:t>
      </w:r>
      <w:r w:rsidRPr="003E51C0">
        <w:rPr>
          <w:b/>
          <w:bCs/>
        </w:rPr>
        <w:t xml:space="preserve">: common conditions for success and areas of challenge </w:t>
      </w:r>
    </w:p>
    <w:tbl>
      <w:tblPr>
        <w:tblStyle w:val="PlainTable1"/>
        <w:tblW w:w="5343" w:type="pct"/>
        <w:tblLook w:val="0420" w:firstRow="1" w:lastRow="0" w:firstColumn="0" w:lastColumn="0" w:noHBand="0" w:noVBand="1"/>
      </w:tblPr>
      <w:tblGrid>
        <w:gridCol w:w="1404"/>
        <w:gridCol w:w="4441"/>
        <w:gridCol w:w="4442"/>
      </w:tblGrid>
      <w:tr w:rsidR="0089037E" w:rsidTr="000229E6" w14:paraId="2962E7A2" w14:textId="77777777">
        <w:trPr>
          <w:cnfStyle w:val="100000000000" w:firstRow="1" w:lastRow="0" w:firstColumn="0" w:lastColumn="0" w:oddVBand="0" w:evenVBand="0" w:oddHBand="0" w:evenHBand="0" w:firstRowFirstColumn="0" w:firstRowLastColumn="0" w:lastRowFirstColumn="0" w:lastRowLastColumn="0"/>
          <w:trHeight w:val="321"/>
          <w:tblHeader/>
        </w:trPr>
        <w:tc>
          <w:tcPr>
            <w:tcW w:w="682" w:type="pct"/>
          </w:tcPr>
          <w:p w:rsidR="0089037E" w:rsidP="000229E6" w:rsidRDefault="0089037E" w14:paraId="54241D19" w14:textId="77777777">
            <w:pPr>
              <w:spacing w:after="120"/>
            </w:pPr>
          </w:p>
        </w:tc>
        <w:tc>
          <w:tcPr>
            <w:tcW w:w="2159" w:type="pct"/>
          </w:tcPr>
          <w:p w:rsidR="0089037E" w:rsidP="000229E6" w:rsidRDefault="0089037E" w14:paraId="087D30B0" w14:textId="77777777">
            <w:pPr>
              <w:spacing w:after="120"/>
            </w:pPr>
            <w:r>
              <w:t>Common conditions for success</w:t>
            </w:r>
          </w:p>
        </w:tc>
        <w:tc>
          <w:tcPr>
            <w:tcW w:w="2159" w:type="pct"/>
          </w:tcPr>
          <w:p w:rsidR="0089037E" w:rsidP="000229E6" w:rsidRDefault="0089037E" w14:paraId="45C172EE" w14:textId="77777777">
            <w:pPr>
              <w:spacing w:after="120"/>
            </w:pPr>
            <w:r>
              <w:t>Common areas of challenge</w:t>
            </w:r>
          </w:p>
        </w:tc>
      </w:tr>
      <w:tr w:rsidR="0089037E" w:rsidTr="000229E6" w14:paraId="29A45E91" w14:textId="77777777">
        <w:trPr>
          <w:cnfStyle w:val="000000100000" w:firstRow="0" w:lastRow="0" w:firstColumn="0" w:lastColumn="0" w:oddVBand="0" w:evenVBand="0" w:oddHBand="1" w:evenHBand="0" w:firstRowFirstColumn="0" w:firstRowLastColumn="0" w:lastRowFirstColumn="0" w:lastRowLastColumn="0"/>
          <w:trHeight w:val="64"/>
        </w:trPr>
        <w:tc>
          <w:tcPr>
            <w:tcW w:w="682" w:type="pct"/>
          </w:tcPr>
          <w:p w:rsidRPr="006479B0" w:rsidR="0089037E" w:rsidP="000229E6" w:rsidRDefault="0089037E" w14:paraId="525CFD27" w14:textId="77777777">
            <w:pPr>
              <w:spacing w:after="120"/>
            </w:pPr>
            <w:r>
              <w:t>Leadership</w:t>
            </w:r>
          </w:p>
        </w:tc>
        <w:tc>
          <w:tcPr>
            <w:tcW w:w="2159" w:type="pct"/>
          </w:tcPr>
          <w:p w:rsidRPr="008F65C7" w:rsidR="0089037E" w:rsidP="00AF10D4" w:rsidRDefault="0089037E" w14:paraId="5468B010" w14:textId="77777777">
            <w:pPr>
              <w:pStyle w:val="ListParagraph"/>
              <w:numPr>
                <w:ilvl w:val="0"/>
                <w:numId w:val="20"/>
              </w:numPr>
              <w:spacing w:after="120" w:line="240" w:lineRule="auto"/>
              <w:ind w:left="357" w:hanging="357"/>
              <w:contextualSpacing w:val="0"/>
            </w:pPr>
            <w:r w:rsidRPr="008F65C7">
              <w:rPr>
                <w:b/>
                <w:bCs/>
              </w:rPr>
              <w:t>Clear understanding of vision alongside a strong understanding of local health needs</w:t>
            </w:r>
            <w:r w:rsidRPr="008F65C7">
              <w:t xml:space="preserve"> (and efficacy of existing service provision).</w:t>
            </w:r>
          </w:p>
          <w:p w:rsidRPr="008F65C7" w:rsidR="0089037E" w:rsidP="00AF10D4" w:rsidRDefault="0089037E" w14:paraId="4F37290F" w14:textId="38591C60">
            <w:pPr>
              <w:pStyle w:val="ListParagraph"/>
              <w:numPr>
                <w:ilvl w:val="0"/>
                <w:numId w:val="20"/>
              </w:numPr>
              <w:spacing w:line="240" w:lineRule="auto"/>
              <w:ind w:left="357" w:hanging="357"/>
              <w:contextualSpacing w:val="0"/>
            </w:pPr>
            <w:r w:rsidRPr="008F65C7">
              <w:rPr>
                <w:b/>
                <w:bCs/>
              </w:rPr>
              <w:t>Strong leadership buy-in to address health inequalities and system-wide working:</w:t>
            </w:r>
            <w:r w:rsidRPr="008F65C7">
              <w:t xml:space="preserve"> </w:t>
            </w:r>
            <w:r w:rsidRPr="008F65C7">
              <w:rPr>
                <w:i/>
                <w:iCs/>
              </w:rPr>
              <w:t xml:space="preserve">“From the outset </w:t>
            </w:r>
            <w:r>
              <w:rPr>
                <w:i/>
                <w:iCs/>
              </w:rPr>
              <w:t>, [they</w:t>
            </w:r>
            <w:r w:rsidR="002458E3">
              <w:rPr>
                <w:i/>
                <w:iCs/>
              </w:rPr>
              <w:t xml:space="preserve">] </w:t>
            </w:r>
            <w:r w:rsidRPr="008F65C7">
              <w:rPr>
                <w:i/>
                <w:iCs/>
              </w:rPr>
              <w:t>had a strong base of support among senior leaders that made it possible to communicate the approach, at least at managerial levels, across the council … The commitment across political and corporate strands of leadership to taking a whole-systems approach allowed several levers to be used at once to galvanise action”.</w:t>
            </w:r>
            <w:r w:rsidRPr="000F7A4D">
              <w:rPr>
                <w:i/>
                <w:iCs/>
                <w:vertAlign w:val="superscript"/>
              </w:rPr>
              <w:t>19</w:t>
            </w:r>
          </w:p>
        </w:tc>
        <w:tc>
          <w:tcPr>
            <w:tcW w:w="2159" w:type="pct"/>
          </w:tcPr>
          <w:p w:rsidRPr="008F65C7" w:rsidR="0089037E" w:rsidP="00AF10D4" w:rsidRDefault="0089037E" w14:paraId="122EF6B9" w14:textId="77777777">
            <w:pPr>
              <w:pStyle w:val="ListParagraph"/>
              <w:numPr>
                <w:ilvl w:val="0"/>
                <w:numId w:val="10"/>
              </w:numPr>
              <w:spacing w:after="120" w:line="240" w:lineRule="auto"/>
              <w:ind w:left="357" w:hanging="357"/>
              <w:contextualSpacing w:val="0"/>
              <w:rPr>
                <w:b/>
                <w:bCs/>
              </w:rPr>
            </w:pPr>
            <w:r w:rsidRPr="008F65C7">
              <w:rPr>
                <w:b/>
                <w:bCs/>
              </w:rPr>
              <w:t>Leadership / Stakeholders having converging objectives</w:t>
            </w:r>
          </w:p>
          <w:p w:rsidRPr="008F65C7" w:rsidR="0089037E" w:rsidP="00AF10D4" w:rsidRDefault="0089037E" w14:paraId="2EBBDB9E" w14:textId="77777777">
            <w:pPr>
              <w:pStyle w:val="ListParagraph"/>
              <w:numPr>
                <w:ilvl w:val="0"/>
                <w:numId w:val="10"/>
              </w:numPr>
              <w:spacing w:after="120" w:line="240" w:lineRule="auto"/>
              <w:ind w:left="357" w:hanging="357"/>
              <w:contextualSpacing w:val="0"/>
              <w:rPr>
                <w:rFonts w:cs="Arial"/>
                <w:b/>
                <w:bCs/>
                <w:szCs w:val="24"/>
              </w:rPr>
            </w:pPr>
            <w:r w:rsidRPr="008F65C7">
              <w:rPr>
                <w:rFonts w:eastAsia="Times New Roman" w:cs="Arial"/>
                <w:b/>
                <w:color w:val="000000"/>
                <w:szCs w:val="24"/>
                <w:lang w:eastAsia="en-GB"/>
              </w:rPr>
              <w:t>A</w:t>
            </w:r>
            <w:r w:rsidRPr="008F65C7">
              <w:rPr>
                <w:rFonts w:eastAsia="Times New Roman" w:cs="Arial"/>
                <w:color w:val="000000"/>
                <w:szCs w:val="24"/>
                <w:lang w:eastAsia="en-GB"/>
              </w:rPr>
              <w:t xml:space="preserve"> </w:t>
            </w:r>
            <w:r w:rsidRPr="008F65C7">
              <w:rPr>
                <w:rFonts w:eastAsia="Times New Roman" w:cs="Arial"/>
                <w:b/>
                <w:bCs/>
                <w:szCs w:val="24"/>
                <w:lang w:eastAsia="en-GB"/>
              </w:rPr>
              <w:t xml:space="preserve">lack of clarity around objectives of a </w:t>
            </w:r>
            <w:r>
              <w:rPr>
                <w:rFonts w:eastAsia="Times New Roman" w:cs="Arial"/>
                <w:b/>
                <w:bCs/>
                <w:szCs w:val="24"/>
                <w:lang w:eastAsia="en-GB"/>
              </w:rPr>
              <w:t>method</w:t>
            </w:r>
            <w:r w:rsidRPr="008F65C7">
              <w:rPr>
                <w:rFonts w:eastAsia="Times New Roman" w:cs="Arial"/>
                <w:b/>
                <w:bCs/>
                <w:szCs w:val="24"/>
                <w:lang w:eastAsia="en-GB"/>
              </w:rPr>
              <w:t>:</w:t>
            </w:r>
            <w:r w:rsidRPr="008F65C7">
              <w:rPr>
                <w:rFonts w:eastAsia="Times New Roman" w:cs="Arial"/>
                <w:szCs w:val="24"/>
                <w:lang w:eastAsia="en-GB"/>
              </w:rPr>
              <w:t xml:space="preserve"> </w:t>
            </w:r>
            <w:r w:rsidRPr="008F65C7">
              <w:rPr>
                <w:rFonts w:eastAsia="Times New Roman" w:cs="Arial"/>
                <w:i/>
                <w:iCs/>
                <w:color w:val="000000"/>
                <w:szCs w:val="24"/>
                <w:lang w:eastAsia="en-GB"/>
              </w:rPr>
              <w:t>“Due to its evolving, localized nature, it was not initially</w:t>
            </w:r>
            <w:r w:rsidRPr="008F65C7">
              <w:rPr>
                <w:rFonts w:eastAsia="Times New Roman" w:cs="Arial"/>
                <w:i/>
                <w:iCs/>
                <w:color w:val="000000"/>
                <w:szCs w:val="24"/>
                <w:lang w:eastAsia="en-GB"/>
              </w:rPr>
              <w:br/>
            </w:r>
            <w:r w:rsidRPr="008F65C7">
              <w:rPr>
                <w:rFonts w:eastAsia="Times New Roman" w:cs="Arial"/>
                <w:i/>
                <w:iCs/>
                <w:color w:val="000000"/>
                <w:szCs w:val="24"/>
                <w:lang w:eastAsia="en-GB"/>
              </w:rPr>
              <w:t>clear what the intervention was. Its status as a pilot intervention</w:t>
            </w:r>
            <w:r w:rsidRPr="008F65C7">
              <w:rPr>
                <w:rFonts w:eastAsia="Times New Roman" w:cs="Arial"/>
                <w:i/>
                <w:iCs/>
                <w:color w:val="000000"/>
                <w:szCs w:val="24"/>
                <w:lang w:eastAsia="en-GB"/>
              </w:rPr>
              <w:br/>
            </w:r>
            <w:r w:rsidRPr="008F65C7">
              <w:rPr>
                <w:rFonts w:eastAsia="Times New Roman" w:cs="Arial"/>
                <w:i/>
                <w:iCs/>
                <w:color w:val="000000"/>
                <w:szCs w:val="24"/>
                <w:lang w:eastAsia="en-GB"/>
              </w:rPr>
              <w:t>meant that there was no clear vision statement”.</w:t>
            </w:r>
            <w:r w:rsidRPr="008F65C7">
              <w:rPr>
                <w:rFonts w:eastAsia="Times New Roman" w:cs="Arial"/>
                <w:color w:val="000000"/>
                <w:szCs w:val="24"/>
                <w:vertAlign w:val="superscript"/>
                <w:lang w:eastAsia="en-GB"/>
              </w:rPr>
              <w:t>20</w:t>
            </w:r>
          </w:p>
          <w:p w:rsidRPr="008F65C7" w:rsidR="0089037E" w:rsidP="00AF10D4" w:rsidRDefault="0089037E" w14:paraId="77E51004" w14:textId="77777777">
            <w:pPr>
              <w:pStyle w:val="ListParagraph"/>
              <w:numPr>
                <w:ilvl w:val="0"/>
                <w:numId w:val="10"/>
              </w:numPr>
              <w:spacing w:after="120" w:line="240" w:lineRule="auto"/>
              <w:ind w:left="360"/>
            </w:pPr>
            <w:r w:rsidRPr="008F65C7">
              <w:t xml:space="preserve">The </w:t>
            </w:r>
            <w:r w:rsidRPr="008F65C7">
              <w:rPr>
                <w:b/>
                <w:bCs/>
              </w:rPr>
              <w:t>translation of statements relating to health inequalities into clear action plans or performance indicators.</w:t>
            </w:r>
          </w:p>
        </w:tc>
      </w:tr>
      <w:tr w:rsidR="0089037E" w:rsidTr="000229E6" w14:paraId="4E002642" w14:textId="77777777">
        <w:trPr>
          <w:trHeight w:val="558"/>
        </w:trPr>
        <w:tc>
          <w:tcPr>
            <w:tcW w:w="682" w:type="pct"/>
          </w:tcPr>
          <w:p w:rsidRPr="006479B0" w:rsidR="0089037E" w:rsidP="000229E6" w:rsidRDefault="0089037E" w14:paraId="21CCB6EC" w14:textId="77777777">
            <w:pPr>
              <w:spacing w:after="120"/>
            </w:pPr>
            <w:r>
              <w:t>Integration</w:t>
            </w:r>
          </w:p>
        </w:tc>
        <w:tc>
          <w:tcPr>
            <w:tcW w:w="2159" w:type="pct"/>
          </w:tcPr>
          <w:p w:rsidRPr="008F65C7" w:rsidR="0089037E" w:rsidP="00AF10D4" w:rsidRDefault="0089037E" w14:paraId="459231D5" w14:textId="77777777">
            <w:pPr>
              <w:pStyle w:val="ListParagraph"/>
              <w:numPr>
                <w:ilvl w:val="0"/>
                <w:numId w:val="10"/>
              </w:numPr>
              <w:spacing w:after="120"/>
              <w:ind w:left="360"/>
            </w:pPr>
            <w:r w:rsidRPr="008F65C7">
              <w:rPr>
                <w:b/>
                <w:bCs/>
              </w:rPr>
              <w:t>Joint / partnership working, resource that can work cross-organisational boundaries</w:t>
            </w:r>
            <w:r w:rsidRPr="008F65C7">
              <w:t xml:space="preserve"> (where required). The central co-ordination of </w:t>
            </w:r>
            <w:r>
              <w:t>method</w:t>
            </w:r>
            <w:r w:rsidRPr="008F65C7">
              <w:t>s is pivotal to this, to reduce the risk of duplication.</w:t>
            </w:r>
          </w:p>
          <w:p w:rsidRPr="008F65C7" w:rsidR="0089037E" w:rsidP="00AF10D4" w:rsidRDefault="0089037E" w14:paraId="148E97C4" w14:textId="77777777">
            <w:pPr>
              <w:pStyle w:val="ListParagraph"/>
              <w:numPr>
                <w:ilvl w:val="0"/>
                <w:numId w:val="20"/>
              </w:numPr>
              <w:spacing w:after="120" w:line="240" w:lineRule="auto"/>
              <w:ind w:left="357" w:hanging="357"/>
              <w:contextualSpacing w:val="0"/>
            </w:pPr>
            <w:r w:rsidRPr="008F65C7">
              <w:rPr>
                <w:b/>
                <w:bCs/>
              </w:rPr>
              <w:t>Leverage the use of anchor institutions, community and non-statutory organisations to support statutory health and care services</w:t>
            </w:r>
            <w:r w:rsidRPr="008F65C7">
              <w:t xml:space="preserve">: </w:t>
            </w:r>
            <w:r w:rsidRPr="008F65C7">
              <w:rPr>
                <w:i/>
                <w:iCs/>
              </w:rPr>
              <w:t>“Importantly, the community-led PACT intervention may provide a feasible gateway to health and social services for populations who may feel more insecure and are less likely to engage with the statutory services”.</w:t>
            </w:r>
            <w:r>
              <w:rPr>
                <w:i/>
                <w:iCs/>
                <w:vertAlign w:val="superscript"/>
              </w:rPr>
              <w:t>43</w:t>
            </w:r>
          </w:p>
          <w:p w:rsidRPr="008F65C7" w:rsidR="0089037E" w:rsidP="00AF10D4" w:rsidRDefault="0089037E" w14:paraId="3D60F672" w14:textId="77777777">
            <w:pPr>
              <w:pStyle w:val="ListParagraph"/>
              <w:numPr>
                <w:ilvl w:val="0"/>
                <w:numId w:val="20"/>
              </w:numPr>
              <w:spacing w:after="120" w:line="240" w:lineRule="auto"/>
              <w:ind w:left="357" w:hanging="357"/>
              <w:contextualSpacing w:val="0"/>
            </w:pPr>
            <w:r w:rsidRPr="008F65C7">
              <w:t xml:space="preserve">The </w:t>
            </w:r>
            <w:r w:rsidRPr="000F7A4D">
              <w:rPr>
                <w:b/>
                <w:bCs/>
              </w:rPr>
              <w:t xml:space="preserve">integrated commissioning of services </w:t>
            </w:r>
            <w:r w:rsidRPr="008F65C7">
              <w:t>based on the current priorities of a local area</w:t>
            </w:r>
          </w:p>
          <w:p w:rsidRPr="008F65C7" w:rsidR="0089037E" w:rsidP="00AF10D4" w:rsidRDefault="0089037E" w14:paraId="4BDB4EC0" w14:textId="77777777">
            <w:pPr>
              <w:pStyle w:val="ListParagraph"/>
              <w:numPr>
                <w:ilvl w:val="0"/>
                <w:numId w:val="20"/>
              </w:numPr>
              <w:spacing w:after="120" w:line="240" w:lineRule="auto"/>
              <w:ind w:left="357" w:hanging="357"/>
              <w:contextualSpacing w:val="0"/>
            </w:pPr>
            <w:r w:rsidRPr="008F65C7">
              <w:t xml:space="preserve">Consideration of the </w:t>
            </w:r>
            <w:r w:rsidRPr="008F65C7">
              <w:rPr>
                <w:b/>
                <w:bCs/>
              </w:rPr>
              <w:t xml:space="preserve">use of pre-existing physical and social structures </w:t>
            </w:r>
            <w:r w:rsidRPr="008F65C7">
              <w:t xml:space="preserve">in which </w:t>
            </w:r>
            <w:r>
              <w:t>method</w:t>
            </w:r>
            <w:r w:rsidRPr="008F65C7">
              <w:t>s can be delivered (eg use of community leaders and advocates to send messages, use of community assets etc.).</w:t>
            </w:r>
          </w:p>
          <w:p w:rsidRPr="008F65C7" w:rsidR="0089037E" w:rsidP="00AF10D4" w:rsidRDefault="0089037E" w14:paraId="376905B3" w14:textId="77777777">
            <w:pPr>
              <w:pStyle w:val="ListParagraph"/>
              <w:numPr>
                <w:ilvl w:val="0"/>
                <w:numId w:val="20"/>
              </w:numPr>
              <w:spacing w:line="240" w:lineRule="auto"/>
              <w:ind w:left="357" w:hanging="357"/>
              <w:contextualSpacing w:val="0"/>
            </w:pPr>
            <w:r w:rsidRPr="008F65C7">
              <w:rPr>
                <w:b/>
                <w:bCs/>
              </w:rPr>
              <w:t>Allocation of funds</w:t>
            </w:r>
            <w:r w:rsidRPr="008F65C7">
              <w:t xml:space="preserve"> for </w:t>
            </w:r>
            <w:r>
              <w:t>method</w:t>
            </w:r>
            <w:r w:rsidRPr="008F65C7">
              <w:t>s to be based on need</w:t>
            </w:r>
          </w:p>
        </w:tc>
        <w:tc>
          <w:tcPr>
            <w:tcW w:w="2159" w:type="pct"/>
          </w:tcPr>
          <w:p w:rsidRPr="008F65C7" w:rsidR="0089037E" w:rsidP="00AF10D4" w:rsidRDefault="0089037E" w14:paraId="530C77B9" w14:textId="77777777">
            <w:pPr>
              <w:pStyle w:val="ListParagraph"/>
              <w:numPr>
                <w:ilvl w:val="0"/>
                <w:numId w:val="10"/>
              </w:numPr>
              <w:spacing w:after="120" w:line="240" w:lineRule="auto"/>
              <w:ind w:left="357" w:hanging="357"/>
              <w:contextualSpacing w:val="0"/>
            </w:pPr>
            <w:r w:rsidRPr="000F7A4D">
              <w:rPr>
                <w:b/>
                <w:bCs/>
              </w:rPr>
              <w:t>Challenges with integration</w:t>
            </w:r>
            <w:r w:rsidRPr="008F65C7">
              <w:t>, such as the commissioning of integrated services, challenges with communication and data sharing etc.</w:t>
            </w:r>
          </w:p>
          <w:p w:rsidRPr="008F65C7" w:rsidR="0089037E" w:rsidP="00AF10D4" w:rsidRDefault="0089037E" w14:paraId="2059C9ED" w14:textId="77777777">
            <w:pPr>
              <w:pStyle w:val="ListParagraph"/>
              <w:numPr>
                <w:ilvl w:val="0"/>
                <w:numId w:val="10"/>
              </w:numPr>
              <w:spacing w:after="120" w:line="240" w:lineRule="auto"/>
              <w:ind w:left="357" w:hanging="357"/>
              <w:contextualSpacing w:val="0"/>
            </w:pPr>
            <w:r w:rsidRPr="008F65C7">
              <w:t xml:space="preserve">It can take a </w:t>
            </w:r>
            <w:r w:rsidRPr="008F65C7">
              <w:rPr>
                <w:b/>
                <w:bCs/>
              </w:rPr>
              <w:t>long time to develop the trust and relationships</w:t>
            </w:r>
            <w:r w:rsidRPr="008F65C7">
              <w:t xml:space="preserve"> in order for true partnership / joint working. </w:t>
            </w:r>
          </w:p>
          <w:p w:rsidRPr="008F65C7" w:rsidR="0089037E" w:rsidP="00AF10D4" w:rsidRDefault="0089037E" w14:paraId="2FA45B25" w14:textId="77777777">
            <w:pPr>
              <w:pStyle w:val="ListParagraph"/>
              <w:numPr>
                <w:ilvl w:val="0"/>
                <w:numId w:val="10"/>
              </w:numPr>
              <w:spacing w:after="120" w:line="240" w:lineRule="auto"/>
              <w:ind w:left="357" w:hanging="357"/>
              <w:contextualSpacing w:val="0"/>
            </w:pPr>
            <w:r w:rsidRPr="008F65C7">
              <w:rPr>
                <w:b/>
                <w:bCs/>
              </w:rPr>
              <w:t>Not all health needs are coterminous with health and care system boundaries</w:t>
            </w:r>
            <w:r w:rsidRPr="008F65C7">
              <w:t xml:space="preserve"> – which can lead to patchy coverage for different health needs geographically and some populations being underserved</w:t>
            </w:r>
          </w:p>
          <w:p w:rsidRPr="008F65C7" w:rsidR="0089037E" w:rsidP="00AF10D4" w:rsidRDefault="0089037E" w14:paraId="4F49704F" w14:textId="77777777">
            <w:pPr>
              <w:pStyle w:val="ListParagraph"/>
              <w:numPr>
                <w:ilvl w:val="0"/>
                <w:numId w:val="10"/>
              </w:numPr>
              <w:spacing w:after="120" w:line="240" w:lineRule="auto"/>
              <w:ind w:left="357" w:hanging="357"/>
              <w:contextualSpacing w:val="0"/>
            </w:pPr>
            <w:r w:rsidRPr="000F7A4D">
              <w:rPr>
                <w:b/>
                <w:bCs/>
              </w:rPr>
              <w:t>The</w:t>
            </w:r>
            <w:r w:rsidRPr="008F65C7">
              <w:t xml:space="preserve"> </w:t>
            </w:r>
            <w:r w:rsidRPr="008F65C7">
              <w:rPr>
                <w:b/>
                <w:bCs/>
              </w:rPr>
              <w:t xml:space="preserve">focus on </w:t>
            </w:r>
            <w:r>
              <w:rPr>
                <w:b/>
                <w:bCs/>
              </w:rPr>
              <w:t>method</w:t>
            </w:r>
            <w:r w:rsidRPr="008F65C7">
              <w:rPr>
                <w:b/>
                <w:bCs/>
              </w:rPr>
              <w:t xml:space="preserve">s can shift attention away from existing services </w:t>
            </w:r>
            <w:r w:rsidRPr="008F65C7">
              <w:t xml:space="preserve">which may already be addressing health inequalities to some extent. </w:t>
            </w:r>
          </w:p>
          <w:p w:rsidRPr="008F65C7" w:rsidR="0089037E" w:rsidP="00AF10D4" w:rsidRDefault="0089037E" w14:paraId="4F6666AF" w14:textId="77777777">
            <w:pPr>
              <w:pStyle w:val="ListParagraph"/>
              <w:numPr>
                <w:ilvl w:val="0"/>
                <w:numId w:val="10"/>
              </w:numPr>
              <w:spacing w:after="120" w:line="240" w:lineRule="auto"/>
              <w:ind w:left="357" w:hanging="357"/>
              <w:contextualSpacing w:val="0"/>
            </w:pPr>
            <w:r w:rsidRPr="000F7A4D">
              <w:rPr>
                <w:b/>
                <w:bCs/>
              </w:rPr>
              <w:t>Ongoing</w:t>
            </w:r>
            <w:r w:rsidRPr="008F65C7">
              <w:t xml:space="preserve"> </w:t>
            </w:r>
            <w:r w:rsidRPr="008F65C7">
              <w:rPr>
                <w:b/>
                <w:bCs/>
              </w:rPr>
              <w:t>resourcing / capacity challenges</w:t>
            </w:r>
            <w:r w:rsidRPr="008F65C7">
              <w:t xml:space="preserve"> within health and care systems (including within partnership organisations).</w:t>
            </w:r>
          </w:p>
          <w:p w:rsidRPr="008F65C7" w:rsidR="0089037E" w:rsidP="000229E6" w:rsidRDefault="0089037E" w14:paraId="267E1534" w14:textId="77777777">
            <w:pPr>
              <w:spacing w:after="120" w:line="240" w:lineRule="auto"/>
            </w:pPr>
          </w:p>
        </w:tc>
      </w:tr>
      <w:tr w:rsidR="0089037E" w:rsidTr="000229E6" w14:paraId="0269B178" w14:textId="77777777">
        <w:trPr>
          <w:cnfStyle w:val="000000100000" w:firstRow="0" w:lastRow="0" w:firstColumn="0" w:lastColumn="0" w:oddVBand="0" w:evenVBand="0" w:oddHBand="1" w:evenHBand="0" w:firstRowFirstColumn="0" w:firstRowLastColumn="0" w:lastRowFirstColumn="0" w:lastRowLastColumn="0"/>
          <w:trHeight w:val="692"/>
        </w:trPr>
        <w:tc>
          <w:tcPr>
            <w:tcW w:w="682" w:type="pct"/>
          </w:tcPr>
          <w:p w:rsidRPr="006479B0" w:rsidR="0089037E" w:rsidP="000229E6" w:rsidRDefault="0089037E" w14:paraId="76C89EEB" w14:textId="77777777">
            <w:pPr>
              <w:spacing w:after="120"/>
            </w:pPr>
            <w:r>
              <w:t>Quality and safety</w:t>
            </w:r>
          </w:p>
        </w:tc>
        <w:tc>
          <w:tcPr>
            <w:tcW w:w="2159" w:type="pct"/>
          </w:tcPr>
          <w:p w:rsidRPr="008F65C7" w:rsidR="0089037E" w:rsidP="00AF10D4" w:rsidRDefault="0089037E" w14:paraId="0985A1A0" w14:textId="77777777">
            <w:pPr>
              <w:pStyle w:val="ListParagraph"/>
              <w:numPr>
                <w:ilvl w:val="0"/>
                <w:numId w:val="20"/>
              </w:numPr>
              <w:spacing w:after="120" w:line="240" w:lineRule="auto"/>
              <w:ind w:left="357" w:hanging="357"/>
              <w:contextualSpacing w:val="0"/>
            </w:pPr>
            <w:r w:rsidRPr="008F65C7">
              <w:t xml:space="preserve">The </w:t>
            </w:r>
            <w:r w:rsidRPr="008F65C7">
              <w:rPr>
                <w:b/>
                <w:bCs/>
              </w:rPr>
              <w:t>co-production of services with communities</w:t>
            </w:r>
            <w:r w:rsidRPr="008F65C7">
              <w:t xml:space="preserve"> alongside ongoing engagement in order to iteratively improve the delivery of an </w:t>
            </w:r>
            <w:r>
              <w:t>intervention method</w:t>
            </w:r>
            <w:r w:rsidRPr="008F65C7">
              <w:t xml:space="preserve">. </w:t>
            </w:r>
          </w:p>
          <w:p w:rsidRPr="008F65C7" w:rsidR="0089037E" w:rsidP="00AF10D4" w:rsidRDefault="0089037E" w14:paraId="66961B2A" w14:textId="77777777">
            <w:pPr>
              <w:pStyle w:val="ListParagraph"/>
              <w:numPr>
                <w:ilvl w:val="0"/>
                <w:numId w:val="20"/>
              </w:numPr>
              <w:spacing w:after="120" w:line="240" w:lineRule="auto"/>
              <w:ind w:left="357" w:hanging="357"/>
              <w:contextualSpacing w:val="0"/>
            </w:pPr>
            <w:r w:rsidRPr="008F65C7">
              <w:rPr>
                <w:b/>
                <w:bCs/>
              </w:rPr>
              <w:t>The importance of establishing trust with communities</w:t>
            </w:r>
            <w:r w:rsidRPr="008F65C7">
              <w:t xml:space="preserve">: </w:t>
            </w:r>
            <w:r w:rsidRPr="008F65C7">
              <w:rPr>
                <w:i/>
                <w:iCs/>
              </w:rPr>
              <w:t>“Ensuring that staff and those delivering interventions have an understanding of local issues “As such, deploying expertise of culturally competent psychological wellbeing practitioners was invaluable”.</w:t>
            </w:r>
            <w:r w:rsidRPr="008F65C7">
              <w:rPr>
                <w:vertAlign w:val="superscript"/>
              </w:rPr>
              <w:t>4</w:t>
            </w:r>
            <w:r>
              <w:rPr>
                <w:vertAlign w:val="superscript"/>
              </w:rPr>
              <w:t>3</w:t>
            </w:r>
          </w:p>
          <w:p w:rsidRPr="008F65C7" w:rsidR="0089037E" w:rsidP="00AF10D4" w:rsidRDefault="0089037E" w14:paraId="279D0243" w14:textId="77777777">
            <w:pPr>
              <w:pStyle w:val="ListParagraph"/>
              <w:numPr>
                <w:ilvl w:val="0"/>
                <w:numId w:val="20"/>
              </w:numPr>
              <w:spacing w:after="120" w:line="240" w:lineRule="auto"/>
              <w:ind w:left="357" w:hanging="357"/>
              <w:contextualSpacing w:val="0"/>
            </w:pPr>
            <w:r w:rsidRPr="008F65C7">
              <w:rPr>
                <w:b/>
                <w:bCs/>
              </w:rPr>
              <w:t xml:space="preserve">Multiple mechanisms for referral and awareness raising of </w:t>
            </w:r>
            <w:r>
              <w:rPr>
                <w:b/>
                <w:bCs/>
              </w:rPr>
              <w:t>method</w:t>
            </w:r>
            <w:r w:rsidRPr="008F65C7">
              <w:rPr>
                <w:b/>
                <w:bCs/>
              </w:rPr>
              <w:t xml:space="preserve">s </w:t>
            </w:r>
            <w:r w:rsidRPr="008F65C7">
              <w:t xml:space="preserve">(to reduce risk of communities </w:t>
            </w:r>
            <w:r>
              <w:t>encountering</w:t>
            </w:r>
            <w:r w:rsidRPr="008F65C7">
              <w:t xml:space="preserve"> barriers </w:t>
            </w:r>
            <w:r>
              <w:t>when</w:t>
            </w:r>
            <w:r w:rsidRPr="008F65C7">
              <w:t xml:space="preserve"> access</w:t>
            </w:r>
            <w:r>
              <w:t>ing the</w:t>
            </w:r>
            <w:r w:rsidRPr="008F65C7">
              <w:t xml:space="preserve"> </w:t>
            </w:r>
            <w:r>
              <w:t>method</w:t>
            </w:r>
            <w:r w:rsidRPr="008F65C7">
              <w:t>)</w:t>
            </w:r>
          </w:p>
        </w:tc>
        <w:tc>
          <w:tcPr>
            <w:tcW w:w="2159" w:type="pct"/>
          </w:tcPr>
          <w:p w:rsidRPr="008F65C7" w:rsidR="0089037E" w:rsidP="00AF10D4" w:rsidRDefault="0089037E" w14:paraId="4D6C7C50" w14:textId="77777777">
            <w:pPr>
              <w:pStyle w:val="ListParagraph"/>
              <w:numPr>
                <w:ilvl w:val="0"/>
                <w:numId w:val="20"/>
              </w:numPr>
              <w:spacing w:after="120" w:line="240" w:lineRule="auto"/>
              <w:ind w:left="357" w:hanging="357"/>
              <w:contextualSpacing w:val="0"/>
            </w:pPr>
            <w:r w:rsidRPr="008F65C7">
              <w:rPr>
                <w:b/>
                <w:bCs/>
              </w:rPr>
              <w:t>Residential mobility</w:t>
            </w:r>
            <w:r w:rsidRPr="008F65C7">
              <w:t xml:space="preserve"> can reduce the impact of place-based public health interventions: </w:t>
            </w:r>
            <w:r w:rsidRPr="008F65C7">
              <w:rPr>
                <w:i/>
                <w:iCs/>
              </w:rPr>
              <w:t>“People who have experienced a certain intervention may leave the area, taking any health benefits with them, while other people – who haven’t participated in the programme – move in, thereby diluting its local (perceived) impact”.</w:t>
            </w:r>
            <w:r w:rsidRPr="008F65C7">
              <w:rPr>
                <w:i/>
                <w:iCs/>
                <w:vertAlign w:val="superscript"/>
              </w:rPr>
              <w:t>12</w:t>
            </w:r>
          </w:p>
          <w:p w:rsidRPr="008F65C7" w:rsidR="0089037E" w:rsidP="00AF10D4" w:rsidRDefault="0089037E" w14:paraId="55E9D6D6" w14:textId="77777777">
            <w:pPr>
              <w:pStyle w:val="ListParagraph"/>
              <w:numPr>
                <w:ilvl w:val="0"/>
                <w:numId w:val="20"/>
              </w:numPr>
              <w:spacing w:after="120" w:line="240" w:lineRule="auto"/>
              <w:ind w:left="357" w:hanging="357"/>
              <w:contextualSpacing w:val="0"/>
            </w:pPr>
            <w:r w:rsidRPr="008F65C7">
              <w:t xml:space="preserve">Ensure that </w:t>
            </w:r>
            <w:r w:rsidRPr="008F65C7">
              <w:rPr>
                <w:b/>
                <w:bCs/>
              </w:rPr>
              <w:t xml:space="preserve">barriers to accessing services are not embedded in </w:t>
            </w:r>
            <w:r>
              <w:rPr>
                <w:b/>
                <w:bCs/>
              </w:rPr>
              <w:t>methods to reduce health inequalities</w:t>
            </w:r>
            <w:r w:rsidRPr="008F65C7">
              <w:t xml:space="preserve"> (eg requiring documentation, digital be default, requiring availability of community assets such as green space, etc).</w:t>
            </w:r>
          </w:p>
          <w:p w:rsidRPr="008F65C7" w:rsidR="0089037E" w:rsidP="00AF10D4" w:rsidRDefault="0089037E" w14:paraId="06E3BE6A" w14:textId="77777777">
            <w:pPr>
              <w:pStyle w:val="ListParagraph"/>
              <w:numPr>
                <w:ilvl w:val="0"/>
                <w:numId w:val="20"/>
              </w:numPr>
              <w:spacing w:after="120" w:line="240" w:lineRule="auto"/>
              <w:ind w:left="357" w:hanging="357"/>
              <w:contextualSpacing w:val="0"/>
            </w:pPr>
            <w:r w:rsidRPr="008F65C7">
              <w:rPr>
                <w:b/>
                <w:bCs/>
              </w:rPr>
              <w:t xml:space="preserve">Difficulty evaluating impact to demonstrate whether </w:t>
            </w:r>
            <w:r>
              <w:rPr>
                <w:b/>
                <w:bCs/>
              </w:rPr>
              <w:t>method</w:t>
            </w:r>
            <w:r w:rsidRPr="008F65C7">
              <w:rPr>
                <w:b/>
                <w:bCs/>
              </w:rPr>
              <w:t>s are addressing health inequalities</w:t>
            </w:r>
            <w:r w:rsidRPr="008F65C7">
              <w:t xml:space="preserve">: </w:t>
            </w:r>
            <w:r w:rsidRPr="008F65C7">
              <w:rPr>
                <w:i/>
                <w:iCs/>
              </w:rPr>
              <w:t>“Inevitably, most evaluations provide snap-shots of activity, and coverage of outcomes is weak with regard to community and services / system change”.</w:t>
            </w:r>
            <w:r w:rsidRPr="008F65C7">
              <w:rPr>
                <w:vertAlign w:val="superscript"/>
              </w:rPr>
              <w:t>3</w:t>
            </w:r>
            <w:r w:rsidRPr="000F7A4D">
              <w:rPr>
                <w:vertAlign w:val="superscript"/>
              </w:rPr>
              <w:t>4</w:t>
            </w:r>
          </w:p>
          <w:p w:rsidRPr="008F65C7" w:rsidR="0089037E" w:rsidP="00AF10D4" w:rsidRDefault="0089037E" w14:paraId="6A0CA6D9" w14:textId="77777777">
            <w:pPr>
              <w:pStyle w:val="ListParagraph"/>
              <w:numPr>
                <w:ilvl w:val="0"/>
                <w:numId w:val="20"/>
              </w:numPr>
              <w:spacing w:after="120" w:line="240" w:lineRule="auto"/>
              <w:ind w:left="357" w:hanging="357"/>
              <w:contextualSpacing w:val="0"/>
            </w:pPr>
            <w:r>
              <w:rPr>
                <w:b/>
                <w:bCs/>
              </w:rPr>
              <w:t>Method</w:t>
            </w:r>
            <w:r w:rsidRPr="008F65C7">
              <w:rPr>
                <w:b/>
                <w:bCs/>
              </w:rPr>
              <w:t>s encountering challenges in meeting those most at need</w:t>
            </w:r>
            <w:r w:rsidRPr="008F65C7">
              <w:t xml:space="preserve"> due to stigma attached and mistrust with statutory organisations and professionals, similar to the issues encountered by existing services. This was particularly prevalent for Mental Health interventions. </w:t>
            </w:r>
          </w:p>
        </w:tc>
      </w:tr>
    </w:tbl>
    <w:p w:rsidR="0089037E" w:rsidP="0089037E" w:rsidRDefault="0089037E" w14:paraId="013694EE" w14:textId="77777777">
      <w:pPr>
        <w:spacing w:before="240"/>
      </w:pPr>
      <w:r>
        <w:t xml:space="preserve">While there has been some scope for funding to be directed at addressing health inequalities from within existing health and care budgets at a local level, there was also an acknowledgment of the impact of government policy and funding regimes have on the overall sustainability of methods: </w:t>
      </w:r>
    </w:p>
    <w:p w:rsidR="006C28CC" w:rsidP="00CF2642" w:rsidRDefault="0089037E" w14:paraId="0C145B45" w14:textId="06F4A11A">
      <w:pPr>
        <w:spacing w:before="240"/>
        <w:ind w:firstLine="720"/>
        <w:rPr>
          <w:rFonts w:eastAsia="Times New Roman" w:cs="Arial"/>
          <w:color w:val="000000"/>
          <w:szCs w:val="24"/>
          <w:vertAlign w:val="superscript"/>
          <w:lang w:eastAsia="en-GB"/>
        </w:rPr>
      </w:pPr>
      <w:r w:rsidRPr="00077210">
        <w:rPr>
          <w:rFonts w:eastAsia="Times New Roman" w:cs="Arial"/>
          <w:i/>
          <w:iCs/>
          <w:color w:val="000000"/>
          <w:szCs w:val="24"/>
          <w:lang w:eastAsia="en-GB"/>
        </w:rPr>
        <w:t>“</w:t>
      </w:r>
      <w:r w:rsidRPr="00870C1C">
        <w:rPr>
          <w:rFonts w:eastAsia="Times New Roman" w:cs="Arial"/>
          <w:i/>
          <w:iCs/>
          <w:color w:val="000000"/>
          <w:szCs w:val="24"/>
          <w:lang w:eastAsia="en-GB"/>
        </w:rPr>
        <w:t>The nature of relatively short-term funding is also cited as</w:t>
      </w:r>
      <w:r w:rsidRPr="00077210">
        <w:rPr>
          <w:rFonts w:eastAsia="Times New Roman" w:cs="Arial"/>
          <w:i/>
          <w:iCs/>
          <w:color w:val="000000"/>
          <w:szCs w:val="24"/>
          <w:lang w:eastAsia="en-GB"/>
        </w:rPr>
        <w:t xml:space="preserve"> </w:t>
      </w:r>
      <w:r w:rsidRPr="00870C1C">
        <w:rPr>
          <w:rFonts w:eastAsia="Times New Roman" w:cs="Arial"/>
          <w:i/>
          <w:iCs/>
          <w:color w:val="000000"/>
          <w:szCs w:val="24"/>
          <w:lang w:eastAsia="en-GB"/>
        </w:rPr>
        <w:t>not being focused long enough to create generational change. Another finding</w:t>
      </w:r>
      <w:r w:rsidRPr="00077210">
        <w:rPr>
          <w:rFonts w:eastAsia="Times New Roman" w:cs="Arial"/>
          <w:i/>
          <w:iCs/>
          <w:color w:val="000000"/>
          <w:szCs w:val="24"/>
          <w:lang w:eastAsia="en-GB"/>
        </w:rPr>
        <w:t xml:space="preserve"> </w:t>
      </w:r>
      <w:r w:rsidRPr="00870C1C">
        <w:rPr>
          <w:rFonts w:eastAsia="Times New Roman" w:cs="Arial"/>
          <w:i/>
          <w:iCs/>
          <w:color w:val="000000"/>
          <w:szCs w:val="24"/>
          <w:lang w:eastAsia="en-GB"/>
        </w:rPr>
        <w:t>was the lack of connectivity between capital piecemeal funding and revenue</w:t>
      </w:r>
      <w:r w:rsidRPr="00077210">
        <w:rPr>
          <w:rFonts w:eastAsia="Times New Roman" w:cs="Arial"/>
          <w:i/>
          <w:iCs/>
          <w:color w:val="000000"/>
          <w:szCs w:val="24"/>
          <w:lang w:eastAsia="en-GB"/>
        </w:rPr>
        <w:t xml:space="preserve"> </w:t>
      </w:r>
      <w:r w:rsidRPr="00F9696A">
        <w:rPr>
          <w:rFonts w:eastAsia="Times New Roman" w:cs="Arial"/>
          <w:i/>
          <w:iCs/>
          <w:color w:val="000000"/>
          <w:szCs w:val="24"/>
          <w:lang w:eastAsia="en-GB"/>
        </w:rPr>
        <w:t>piecemeal funding which creates unsustainable provision over the medium and long-term”.</w:t>
      </w:r>
      <w:r w:rsidRPr="00F9696A">
        <w:rPr>
          <w:rFonts w:eastAsia="Times New Roman" w:cs="Arial"/>
          <w:color w:val="000000"/>
          <w:szCs w:val="24"/>
          <w:vertAlign w:val="superscript"/>
          <w:lang w:eastAsia="en-GB"/>
        </w:rPr>
        <w:t>4</w:t>
      </w:r>
    </w:p>
    <w:p w:rsidR="00CD2A86" w:rsidP="006C28CC" w:rsidRDefault="00CD2A86" w14:paraId="2801509D" w14:textId="77777777">
      <w:pPr>
        <w:pStyle w:val="Heading2Num"/>
        <w:numPr>
          <w:ilvl w:val="0"/>
          <w:numId w:val="0"/>
        </w:numPr>
        <w:spacing w:after="240"/>
      </w:pPr>
      <w:bookmarkStart w:name="_Toc139558231" w:id="111"/>
      <w:bookmarkStart w:name="_Toc139619165" w:id="112"/>
      <w:r>
        <w:br w:type="page"/>
      </w:r>
    </w:p>
    <w:p w:rsidR="006C28CC" w:rsidP="006C28CC" w:rsidRDefault="006C28CC" w14:paraId="1088D28D" w14:textId="2B098A09">
      <w:pPr>
        <w:pStyle w:val="Heading2Num"/>
        <w:numPr>
          <w:ilvl w:val="0"/>
          <w:numId w:val="0"/>
        </w:numPr>
        <w:spacing w:after="240"/>
      </w:pPr>
      <w:r w:rsidRPr="00601221">
        <w:t xml:space="preserve">Theme </w:t>
      </w:r>
      <w:r>
        <w:t>3</w:t>
      </w:r>
      <w:r w:rsidRPr="00601221">
        <w:t>: What does successful engagement with local people and communities look like?</w:t>
      </w:r>
      <w:bookmarkEnd w:id="111"/>
      <w:bookmarkEnd w:id="112"/>
    </w:p>
    <w:p w:rsidR="006C28CC" w:rsidP="00CF2642" w:rsidRDefault="006C28CC" w14:paraId="6C023819" w14:textId="77777777">
      <w:pPr>
        <w:spacing w:before="240" w:after="120"/>
      </w:pPr>
      <w:r>
        <w:t>This section describes learning and examples of successful engagement with local people and communities. To draw out practical and tangible learning, we address:</w:t>
      </w:r>
    </w:p>
    <w:p w:rsidR="006C28CC" w:rsidP="00CF2642" w:rsidRDefault="006C28CC" w14:paraId="2C2EFEDC" w14:textId="77777777">
      <w:pPr>
        <w:pStyle w:val="ListParagraph"/>
        <w:numPr>
          <w:ilvl w:val="0"/>
          <w:numId w:val="33"/>
        </w:numPr>
        <w:spacing w:before="120"/>
      </w:pPr>
      <w:r>
        <w:t>When to engage with local people and communities?</w:t>
      </w:r>
    </w:p>
    <w:p w:rsidR="006C28CC" w:rsidP="006C28CC" w:rsidRDefault="006C28CC" w14:paraId="21F4076E" w14:textId="77777777">
      <w:pPr>
        <w:pStyle w:val="ListParagraph"/>
        <w:numPr>
          <w:ilvl w:val="0"/>
          <w:numId w:val="33"/>
        </w:numPr>
        <w:spacing w:before="240"/>
      </w:pPr>
      <w:r>
        <w:t>Who to engage with?</w:t>
      </w:r>
    </w:p>
    <w:p w:rsidR="006C28CC" w:rsidP="006C28CC" w:rsidRDefault="006C28CC" w14:paraId="29CDC1B5" w14:textId="77777777">
      <w:pPr>
        <w:pStyle w:val="ListParagraph"/>
        <w:numPr>
          <w:ilvl w:val="0"/>
          <w:numId w:val="33"/>
        </w:numPr>
        <w:spacing w:before="240"/>
      </w:pPr>
      <w:r>
        <w:t>How to engage with local people and communities? and</w:t>
      </w:r>
    </w:p>
    <w:p w:rsidR="006C28CC" w:rsidP="006C28CC" w:rsidRDefault="006C28CC" w14:paraId="558CFFD0" w14:textId="77777777">
      <w:pPr>
        <w:pStyle w:val="ListParagraph"/>
        <w:numPr>
          <w:ilvl w:val="0"/>
          <w:numId w:val="33"/>
        </w:numPr>
        <w:spacing w:before="240"/>
      </w:pPr>
      <w:r>
        <w:t>Critical success factors for engagement.</w:t>
      </w:r>
    </w:p>
    <w:p w:rsidR="006C28CC" w:rsidP="006C28CC" w:rsidRDefault="006C28CC" w14:paraId="1D3EBE35" w14:textId="77777777">
      <w:pPr>
        <w:spacing w:before="240"/>
        <w:rPr>
          <w:b/>
          <w:bCs/>
        </w:rPr>
      </w:pPr>
      <w:r w:rsidRPr="00CC44B1">
        <w:rPr>
          <w:b/>
          <w:bCs/>
        </w:rPr>
        <w:t>When to engage with local people and communities?</w:t>
      </w:r>
    </w:p>
    <w:p w:rsidRPr="0054363A" w:rsidR="006C28CC" w:rsidP="006C28CC" w:rsidRDefault="006C28CC" w14:paraId="0B13C376" w14:textId="77777777">
      <w:r>
        <w:t>The benefits of engaging with local people and communities was shown across the lifecycle of different intervention and initiatives. T</w:t>
      </w:r>
      <w:r w:rsidRPr="0054363A">
        <w:t>he importance of understanding the needs of a community even before the study design stage</w:t>
      </w:r>
      <w:r>
        <w:t xml:space="preserve"> was clear to considering existing inequalities</w:t>
      </w:r>
      <w:r w:rsidRPr="0054363A">
        <w:t>.</w:t>
      </w:r>
      <w:r>
        <w:t xml:space="preserve"> In doing so, some described</w:t>
      </w:r>
      <w:r w:rsidRPr="0054363A">
        <w:t xml:space="preserve"> the use of behavioural, social or psychological theories</w:t>
      </w:r>
      <w:r>
        <w:t xml:space="preserve"> </w:t>
      </w:r>
      <w:r w:rsidRPr="0054363A">
        <w:t xml:space="preserve">to gain a better understand of human behaviour and motivation when designing intervention </w:t>
      </w:r>
      <w:r>
        <w:t>methods</w:t>
      </w:r>
      <w:r w:rsidRPr="0054363A">
        <w:t xml:space="preserve"> and programmes</w:t>
      </w:r>
      <w:r>
        <w:t xml:space="preserve"> for the local population </w:t>
      </w:r>
      <w:r w:rsidRPr="0054363A">
        <w:rPr>
          <w:vertAlign w:val="superscript"/>
        </w:rPr>
        <w:t>26,46-47</w:t>
      </w:r>
      <w:r w:rsidRPr="0054363A">
        <w:t xml:space="preserve">. </w:t>
      </w:r>
    </w:p>
    <w:p w:rsidRPr="000D26C5" w:rsidR="006C28CC" w:rsidP="006C28CC" w:rsidRDefault="006C28CC" w14:paraId="103E2EEE" w14:textId="77777777">
      <w:r>
        <w:t xml:space="preserve">When considering prevention activities, it was shown that health promotion </w:t>
      </w:r>
      <w:r w:rsidRPr="00CC44B1">
        <w:t xml:space="preserve">initiatives </w:t>
      </w:r>
      <w:r>
        <w:t>were</w:t>
      </w:r>
      <w:r w:rsidRPr="00CC44B1">
        <w:t xml:space="preserve"> unlikely to succeed without strong local involvement at all stages of the process and many programmes now use grass roots approaches.</w:t>
      </w:r>
      <w:r w:rsidRPr="00484B10">
        <w:rPr>
          <w:vertAlign w:val="superscript"/>
        </w:rPr>
        <w:t>4</w:t>
      </w:r>
      <w:r w:rsidRPr="000F7A4D">
        <w:rPr>
          <w:vertAlign w:val="superscript"/>
        </w:rPr>
        <w:t>7</w:t>
      </w:r>
      <w:r>
        <w:rPr>
          <w:vertAlign w:val="superscript"/>
        </w:rPr>
        <w:t xml:space="preserve"> </w:t>
      </w:r>
      <w:r>
        <w:t>For example, the healthy living approach intervention trial in Pembrokeshire operated through existing community forums and trained local people to act as community researchers. This approach allowed communities to produce and disseminate action plans that were based on needs identified by local people.</w:t>
      </w:r>
      <w:r w:rsidRPr="00500D2E">
        <w:rPr>
          <w:vertAlign w:val="superscript"/>
        </w:rPr>
        <w:t xml:space="preserve"> </w:t>
      </w:r>
      <w:r w:rsidRPr="00484B10">
        <w:rPr>
          <w:vertAlign w:val="superscript"/>
        </w:rPr>
        <w:t>4</w:t>
      </w:r>
      <w:r w:rsidRPr="000F7A4D">
        <w:rPr>
          <w:vertAlign w:val="superscript"/>
        </w:rPr>
        <w:t>7</w:t>
      </w:r>
      <w:r>
        <w:t xml:space="preserve">  </w:t>
      </w:r>
    </w:p>
    <w:p w:rsidR="006C28CC" w:rsidP="006C28CC" w:rsidRDefault="006C28CC" w14:paraId="3C9B289E" w14:textId="5C4C4D1B">
      <w:r>
        <w:t>Interestingly, many</w:t>
      </w:r>
      <w:r w:rsidRPr="0054363A">
        <w:t xml:space="preserve"> approaches</w:t>
      </w:r>
      <w:r>
        <w:t xml:space="preserve"> described as part of this research</w:t>
      </w:r>
      <w:r w:rsidRPr="0054363A">
        <w:t xml:space="preserve"> were </w:t>
      </w:r>
      <w:r>
        <w:t xml:space="preserve">part of </w:t>
      </w:r>
      <w:r w:rsidRPr="0054363A">
        <w:t>one-off studies</w:t>
      </w:r>
      <w:r>
        <w:t>, with only a small number</w:t>
      </w:r>
      <w:r w:rsidRPr="0054363A">
        <w:t xml:space="preserve"> </w:t>
      </w:r>
      <w:r w:rsidR="00F0541A">
        <w:t xml:space="preserve">of </w:t>
      </w:r>
      <w:r w:rsidRPr="0054363A">
        <w:t>follow-ups</w:t>
      </w:r>
      <w:r w:rsidRPr="0054363A">
        <w:rPr>
          <w:vertAlign w:val="superscript"/>
        </w:rPr>
        <w:t>24</w:t>
      </w:r>
      <w:r w:rsidRPr="0054363A">
        <w:t xml:space="preserve"> or </w:t>
      </w:r>
      <w:r>
        <w:t xml:space="preserve">those that </w:t>
      </w:r>
      <w:r w:rsidRPr="0054363A">
        <w:t>were implemented more broadly.</w:t>
      </w:r>
      <w:r w:rsidRPr="0054363A">
        <w:rPr>
          <w:vertAlign w:val="superscript"/>
        </w:rPr>
        <w:t>50</w:t>
      </w:r>
      <w:r w:rsidRPr="0054363A">
        <w:t xml:space="preserve"> </w:t>
      </w:r>
      <w:r>
        <w:t>Some</w:t>
      </w:r>
      <w:r w:rsidRPr="0054363A">
        <w:t xml:space="preserve"> programmes could not be sustained due to a lack of funding opportunities, while </w:t>
      </w:r>
      <w:r>
        <w:t xml:space="preserve">others were targeted </w:t>
      </w:r>
      <w:r w:rsidRPr="0054363A">
        <w:t xml:space="preserve">one-off research projects to provide recommendations for future </w:t>
      </w:r>
      <w:r>
        <w:t>method</w:t>
      </w:r>
      <w:r w:rsidRPr="0054363A">
        <w:t>s.</w:t>
      </w:r>
    </w:p>
    <w:p w:rsidRPr="00CC44B1" w:rsidR="006C28CC" w:rsidP="006C28CC" w:rsidRDefault="006C28CC" w14:paraId="27720C2B" w14:textId="77777777">
      <w:pPr>
        <w:spacing w:before="240"/>
        <w:rPr>
          <w:b/>
          <w:bCs/>
        </w:rPr>
      </w:pPr>
      <w:r w:rsidRPr="00CC44B1">
        <w:rPr>
          <w:b/>
          <w:bCs/>
        </w:rPr>
        <w:t>Who to engage with?</w:t>
      </w:r>
    </w:p>
    <w:p w:rsidR="006C28CC" w:rsidP="006C28CC" w:rsidRDefault="006C28CC" w14:paraId="5D498E22" w14:textId="16A1BC7D">
      <w:r>
        <w:t>Successful engagement included bringing together a</w:t>
      </w:r>
      <w:r w:rsidRPr="002F2245">
        <w:t xml:space="preserve"> range of stakeholder groups </w:t>
      </w:r>
      <w:r>
        <w:t xml:space="preserve">and hearing from a range of diverse voices. As part </w:t>
      </w:r>
      <w:r w:rsidR="00931758">
        <w:t xml:space="preserve">of </w:t>
      </w:r>
      <w:r>
        <w:t xml:space="preserve">this research, common groups identified include VCSE organisations, community champions, members of the public in the target community, researchers, healthcare providers and wider community support roles (such as police officers). </w:t>
      </w:r>
    </w:p>
    <w:p w:rsidR="006C28CC" w:rsidP="006C28CC" w:rsidRDefault="006C28CC" w14:paraId="69DE9740" w14:textId="370B29B3">
      <w:r>
        <w:t xml:space="preserve">Additionally, ensuring that </w:t>
      </w:r>
      <w:r w:rsidRPr="0054363A">
        <w:t xml:space="preserve">the communities targeted by an intervention </w:t>
      </w:r>
      <w:r>
        <w:t>are included in the design and development were shown to result in successful implementation</w:t>
      </w:r>
      <w:r w:rsidR="00DA5B0B">
        <w:t>. S</w:t>
      </w:r>
      <w:r>
        <w:rPr>
          <w:rFonts w:cs="Arial"/>
          <w:szCs w:val="24"/>
        </w:rPr>
        <w:t>ocio-economically disadvantaged</w:t>
      </w:r>
      <w:r w:rsidRPr="0060417B">
        <w:rPr>
          <w:rFonts w:cs="Arial"/>
          <w:szCs w:val="24"/>
        </w:rPr>
        <w:t xml:space="preserve"> </w:t>
      </w:r>
      <w:r>
        <w:t>areas in England</w:t>
      </w:r>
      <w:r w:rsidR="00DA5B0B">
        <w:t xml:space="preserve"> were commonly explored</w:t>
      </w:r>
      <w:r>
        <w:t>. For example, the PACT community health project, designed to improve maternal health, engaged mothers in a deprived South London borough through co-production and community control of the project. This succeeded with 93% of participating mothers engaging with the project in some way, leading to improved mental health and increased health literacy of participants.</w:t>
      </w:r>
      <w:r>
        <w:rPr>
          <w:vertAlign w:val="superscript"/>
        </w:rPr>
        <w:t>41</w:t>
      </w:r>
    </w:p>
    <w:p w:rsidR="006C28CC" w:rsidP="006C28CC" w:rsidRDefault="006C28CC" w14:paraId="1B5D577B" w14:textId="77777777">
      <w:r w:rsidR="006C28CC">
        <w:rPr/>
        <w:t xml:space="preserve">Tailoring the approach to different communities’ needs and perspectives was shown to be key. For example, the Population Health Research Institute focussed on engaging with African and African Caribbean groups in </w:t>
      </w:r>
      <w:r w:rsidR="006C28CC">
        <w:rPr/>
        <w:t>South London</w:t>
      </w:r>
      <w:r w:rsidR="006C28CC">
        <w:rPr/>
        <w:t xml:space="preserve"> to </w:t>
      </w:r>
      <w:r w:rsidR="006C28CC">
        <w:rPr/>
        <w:t xml:space="preserve">improve mental health in these communities and found that members of local faith groups who were already embedded in local communities were able to build community </w:t>
      </w:r>
      <w:r w:rsidR="006C28CC">
        <w:rPr/>
        <w:t>capacity</w:t>
      </w:r>
      <w:r w:rsidR="006C28CC">
        <w:rPr/>
        <w:t xml:space="preserve"> to raise awareness of mental health problems.</w:t>
      </w:r>
      <w:r w:rsidRPr="6DA1975D" w:rsidR="006C28CC">
        <w:rPr>
          <w:vertAlign w:val="superscript"/>
        </w:rPr>
        <w:t>4</w:t>
      </w:r>
      <w:r w:rsidRPr="6DA1975D" w:rsidR="006C28CC">
        <w:rPr>
          <w:vertAlign w:val="superscript"/>
        </w:rPr>
        <w:t>5</w:t>
      </w:r>
      <w:r w:rsidR="006C28CC">
        <w:rPr/>
        <w:t xml:space="preserve"> </w:t>
      </w:r>
      <w:r w:rsidR="006C28CC">
        <w:rPr/>
        <w:t xml:space="preserve"> </w:t>
      </w:r>
    </w:p>
    <w:p w:rsidR="006C28CC" w:rsidP="006C28CC" w:rsidRDefault="006C28CC" w14:paraId="66F1CC5E" w14:textId="77777777">
      <w:r>
        <w:t xml:space="preserve">Similarly, the Centre for Primary Care at the University of Manchester engaged with </w:t>
      </w:r>
      <w:r w:rsidRPr="004D2FFA">
        <w:t>South Asian communities in Greater Manchester</w:t>
      </w:r>
      <w:r>
        <w:t xml:space="preserve"> to </w:t>
      </w:r>
      <w:r w:rsidRPr="0056128A">
        <w:t>improve access to primary mental health care</w:t>
      </w:r>
      <w:r>
        <w:t xml:space="preserve"> an</w:t>
      </w:r>
      <w:r w:rsidRPr="00B673E9">
        <w:t>d</w:t>
      </w:r>
      <w:r w:rsidRPr="0056128A">
        <w:t xml:space="preserve"> found that a combination of community focus groups, working groups and community champions working together led to increased awareness. A key barrier</w:t>
      </w:r>
      <w:r>
        <w:t xml:space="preserve"> they </w:t>
      </w:r>
      <w:r w:rsidRPr="0056128A">
        <w:t>identified was communication and these groups were able to address this by tailoring information both culturally and linguistically</w:t>
      </w:r>
      <w:r>
        <w:rPr>
          <w:vertAlign w:val="superscript"/>
        </w:rPr>
        <w:t>46</w:t>
      </w:r>
      <w:r w:rsidRPr="0056128A">
        <w:t xml:space="preserve">. </w:t>
      </w:r>
      <w:r>
        <w:rPr>
          <w:vertAlign w:val="superscript"/>
        </w:rPr>
        <w:t xml:space="preserve"> </w:t>
      </w:r>
    </w:p>
    <w:p w:rsidR="006C28CC" w:rsidP="006C28CC" w:rsidRDefault="006C28CC" w14:paraId="653A2550" w14:textId="77777777">
      <w:pPr>
        <w:spacing w:before="240"/>
        <w:rPr>
          <w:b/>
          <w:bCs/>
        </w:rPr>
      </w:pPr>
      <w:r w:rsidRPr="00CC44B1">
        <w:rPr>
          <w:b/>
          <w:bCs/>
        </w:rPr>
        <w:t xml:space="preserve">How to engage with local people and communities? </w:t>
      </w:r>
    </w:p>
    <w:p w:rsidR="006C28CC" w:rsidP="006C28CC" w:rsidRDefault="006C28CC" w14:paraId="02B64EE0" w14:textId="77777777">
      <w:r>
        <w:t>A number of different engagement a</w:t>
      </w:r>
      <w:r w:rsidRPr="0054363A">
        <w:t>pproaches</w:t>
      </w:r>
      <w:r>
        <w:t xml:space="preserve"> have been described but can be grouped into two broad categories</w:t>
      </w:r>
      <w:r w:rsidRPr="0054363A">
        <w:t xml:space="preserve">: </w:t>
      </w:r>
    </w:p>
    <w:p w:rsidRPr="00200762" w:rsidR="006C28CC" w:rsidP="006C28CC" w:rsidRDefault="006C28CC" w14:paraId="26FC8E90" w14:textId="2CA91441">
      <w:r w:rsidRPr="00EE1B2E">
        <w:rPr>
          <w:b/>
          <w:bCs/>
          <w:i/>
          <w:iCs/>
        </w:rPr>
        <w:t>Asset-based engagement</w:t>
      </w:r>
      <w:r>
        <w:t xml:space="preserve"> which rely on </w:t>
      </w:r>
      <w:r w:rsidRPr="0054363A">
        <w:t>local community assets</w:t>
      </w:r>
      <w:r>
        <w:t xml:space="preserve"> (people, groups, resources)</w:t>
      </w:r>
      <w:r w:rsidRPr="0054363A">
        <w:t xml:space="preserve"> to develop and strengthen communitie</w:t>
      </w:r>
      <w:r>
        <w:t xml:space="preserve">s. For example, </w:t>
      </w:r>
      <w:r w:rsidRPr="00CC44B1">
        <w:t xml:space="preserve">a ‘Healthy Living’ </w:t>
      </w:r>
      <w:r>
        <w:t>a</w:t>
      </w:r>
      <w:r w:rsidRPr="00CC44B1">
        <w:t>pproach</w:t>
      </w:r>
      <w:r w:rsidRPr="00513D34">
        <w:t xml:space="preserve"> train</w:t>
      </w:r>
      <w:r>
        <w:t>ed</w:t>
      </w:r>
      <w:r w:rsidRPr="00513D34">
        <w:t xml:space="preserve"> local people as community researchers</w:t>
      </w:r>
      <w:r>
        <w:t xml:space="preserve">. They supported local </w:t>
      </w:r>
      <w:r w:rsidRPr="00513D34">
        <w:t>community forums to coordinate and communicate across the partnership</w:t>
      </w:r>
      <w:r>
        <w:t>s</w:t>
      </w:r>
      <w:r>
        <w:rPr>
          <w:vertAlign w:val="superscript"/>
        </w:rPr>
        <w:t>4</w:t>
      </w:r>
      <w:r w:rsidR="00CD2A86">
        <w:rPr>
          <w:vertAlign w:val="superscript"/>
        </w:rPr>
        <w:t>7</w:t>
      </w:r>
      <w:r>
        <w:rPr>
          <w:vertAlign w:val="superscript"/>
        </w:rPr>
        <w:t>.</w:t>
      </w:r>
      <w:r>
        <w:t>, which allowed for capabilities to be built within the community and supporting people within their own contexts</w:t>
      </w:r>
      <w:r w:rsidR="00CA2FC6">
        <w:t>.</w:t>
      </w:r>
    </w:p>
    <w:p w:rsidR="006C28CC" w:rsidP="006C28CC" w:rsidRDefault="006C28CC" w14:paraId="41F60414" w14:textId="5A7260CE">
      <w:r w:rsidRPr="00EE1B2E">
        <w:rPr>
          <w:b/>
          <w:bCs/>
          <w:i/>
          <w:iCs/>
        </w:rPr>
        <w:t>Community-centred engagement</w:t>
      </w:r>
      <w:r w:rsidRPr="000D26C5">
        <w:t xml:space="preserve"> models</w:t>
      </w:r>
      <w:r w:rsidRPr="0054363A">
        <w:t xml:space="preserve"> involve</w:t>
      </w:r>
      <w:r>
        <w:t>d</w:t>
      </w:r>
      <w:r w:rsidRPr="0054363A">
        <w:t xml:space="preserve"> mobilising resources within community and co-production</w:t>
      </w:r>
      <w:r>
        <w:t xml:space="preserve">. For example, </w:t>
      </w:r>
      <w:r w:rsidRPr="00CC44B1">
        <w:t>consultation forums</w:t>
      </w:r>
      <w:r w:rsidRPr="00513D34">
        <w:t xml:space="preserve"> </w:t>
      </w:r>
      <w:r>
        <w:t>were conducted in a</w:t>
      </w:r>
      <w:r w:rsidRPr="00513D34">
        <w:t xml:space="preserve"> world café </w:t>
      </w:r>
      <w:r>
        <w:t xml:space="preserve">style with </w:t>
      </w:r>
      <w:r w:rsidRPr="00513D34">
        <w:t>adults in one of the most socio-economically disadvantaged local authority areas in the UK</w:t>
      </w:r>
      <w:r w:rsidRPr="00200762">
        <w:rPr>
          <w:vertAlign w:val="superscript"/>
        </w:rPr>
        <w:t>48</w:t>
      </w:r>
      <w:r w:rsidRPr="00513D34">
        <w:t>.</w:t>
      </w:r>
      <w:r>
        <w:t xml:space="preserve"> </w:t>
      </w:r>
      <w:r w:rsidRPr="0056128A">
        <w:t>A world caf</w:t>
      </w:r>
      <w:r w:rsidRPr="00B673E9">
        <w:t>é</w:t>
      </w:r>
      <w:r w:rsidRPr="0056128A" w:rsidDel="005F2B79">
        <w:t xml:space="preserve"> </w:t>
      </w:r>
      <w:r w:rsidRPr="0056128A">
        <w:t>involves a number of timed roundtable discussions each on a pre-determined topic. This method was chosen as it is accessible for individuals with poor literacy or IT skills and because the target group were already participants in other round table community discussions.</w:t>
      </w:r>
      <w:r>
        <w:t xml:space="preserve"> By the very nature of community-centred models, c</w:t>
      </w:r>
      <w:r w:rsidRPr="00A93E4E">
        <w:t>ultural engagement</w:t>
      </w:r>
      <w:r>
        <w:t xml:space="preserve"> remains central. These included cultural focused activities</w:t>
      </w:r>
      <w:r w:rsidRPr="00A93E4E">
        <w:t xml:space="preserve">, such as community-based arts, nature, music, </w:t>
      </w:r>
      <w:r>
        <w:t xml:space="preserve">and </w:t>
      </w:r>
      <w:r w:rsidRPr="00A93E4E">
        <w:t>theatre</w:t>
      </w:r>
      <w:r>
        <w:t>. For example, the community organisation Heavy Sound aimed to improve the health and well-being of disadvantaged young people in Scotland by engaging them in creative activities that allow them to express their emotions.</w:t>
      </w:r>
      <w:r>
        <w:rPr>
          <w:vertAlign w:val="superscript"/>
        </w:rPr>
        <w:t>25</w:t>
      </w:r>
      <w:r>
        <w:t xml:space="preserve"> </w:t>
      </w:r>
    </w:p>
    <w:p w:rsidRPr="0054363A" w:rsidR="006C28CC" w:rsidP="006C28CC" w:rsidRDefault="006C28CC" w14:paraId="160754FA" w14:textId="7165BEC1">
      <w:pPr>
        <w:rPr>
          <w:i/>
          <w:iCs/>
        </w:rPr>
      </w:pPr>
      <w:r>
        <w:t xml:space="preserve">Beyond the two categories for engagement, it was clear that collaboration across partners was essential to provide effective and inclusive ways of working to consider inequalities. For example, one initiative set out to </w:t>
      </w:r>
      <w:r w:rsidRPr="0056128A">
        <w:t>increase community engagement around primary mental health care</w:t>
      </w:r>
      <w:r>
        <w:t xml:space="preserve"> and included </w:t>
      </w:r>
      <w:r w:rsidRPr="0056128A">
        <w:t>health sector workers, members of voluntary or third sector organisations, faith leaders, community police, local business representatives and local councillors</w:t>
      </w:r>
      <w:r>
        <w:t xml:space="preserve"> in the project</w:t>
      </w:r>
      <w:r w:rsidRPr="0056128A">
        <w:t>.</w:t>
      </w:r>
      <w:r w:rsidR="00CA2FC6">
        <w:t xml:space="preserve"> </w:t>
      </w:r>
      <w:r>
        <w:t>They described how:</w:t>
      </w:r>
    </w:p>
    <w:p w:rsidR="006C28CC" w:rsidP="006C28CC" w:rsidRDefault="006C28CC" w14:paraId="3253A8E7" w14:textId="77777777">
      <w:pPr>
        <w:ind w:firstLine="720"/>
      </w:pPr>
      <w:r w:rsidRPr="0054363A">
        <w:rPr>
          <w:i/>
          <w:iCs/>
        </w:rPr>
        <w:t>“Community members and local professionals working together fostered a sense of ownership of the interventions, developed and strengthened networks and empowered the community by demonstrating their capacity to act together to address local issues”.</w:t>
      </w:r>
      <w:r w:rsidRPr="0054363A">
        <w:rPr>
          <w:vertAlign w:val="superscript"/>
        </w:rPr>
        <w:t>46</w:t>
      </w:r>
    </w:p>
    <w:p w:rsidR="006C28CC" w:rsidP="006C28CC" w:rsidRDefault="006C28CC" w14:paraId="4E837498" w14:textId="77777777">
      <w:r>
        <w:t xml:space="preserve">This highlights the social impacts (and potentially wider) of effective engagement in local communities across different partnerships. Interestingly, whilst this research can highlight the benefits of effective community and local engagement, there was limited evidence in the direct links to improved health outcomes or reduced inequalities. </w:t>
      </w:r>
    </w:p>
    <w:p w:rsidRPr="007930A9" w:rsidR="006C28CC" w:rsidP="006C28CC" w:rsidRDefault="006C28CC" w14:paraId="241CBA6C" w14:textId="77777777">
      <w:pPr>
        <w:spacing w:before="240"/>
        <w:rPr>
          <w:b/>
          <w:bCs/>
        </w:rPr>
      </w:pPr>
      <w:r>
        <w:rPr>
          <w:b/>
          <w:bCs/>
        </w:rPr>
        <w:t xml:space="preserve">Effective methods for </w:t>
      </w:r>
      <w:r w:rsidRPr="00CC44B1">
        <w:rPr>
          <w:b/>
          <w:bCs/>
        </w:rPr>
        <w:t>engagement</w:t>
      </w:r>
    </w:p>
    <w:p w:rsidR="006C28CC" w:rsidP="006C28CC" w:rsidRDefault="006C28CC" w14:paraId="7D28747B" w14:textId="77777777">
      <w:r>
        <w:t xml:space="preserve">To ensure that </w:t>
      </w:r>
      <w:r w:rsidRPr="00C3734B">
        <w:t>communities are at the heart of approach</w:t>
      </w:r>
      <w:r>
        <w:t>, c</w:t>
      </w:r>
      <w:r w:rsidRPr="00513D34">
        <w:t>ommunity centred approach</w:t>
      </w:r>
      <w:r>
        <w:t>es</w:t>
      </w:r>
      <w:r w:rsidRPr="00513D34">
        <w:t xml:space="preserve"> </w:t>
      </w:r>
      <w:r>
        <w:t>should u</w:t>
      </w:r>
      <w:r w:rsidRPr="00513D34">
        <w:t xml:space="preserve">se </w:t>
      </w:r>
      <w:r w:rsidRPr="004C4CE3">
        <w:t>participatory methods</w:t>
      </w:r>
      <w:r w:rsidRPr="00513D34">
        <w:t xml:space="preserve"> where community members are actively involved in design, delivery and evaluation</w:t>
      </w:r>
      <w:r>
        <w:t>; u</w:t>
      </w:r>
      <w:r w:rsidRPr="00513D34">
        <w:t>se</w:t>
      </w:r>
      <w:r>
        <w:t xml:space="preserve"> </w:t>
      </w:r>
      <w:r w:rsidRPr="00513D34">
        <w:t>and build</w:t>
      </w:r>
      <w:r>
        <w:t xml:space="preserve"> </w:t>
      </w:r>
      <w:r w:rsidRPr="00513D34">
        <w:t>on local community assets in developing and delivering the project</w:t>
      </w:r>
      <w:r>
        <w:t>; and d</w:t>
      </w:r>
      <w:r w:rsidRPr="00513D34">
        <w:t>evelop collaborations and partnerships with individuals and groups at most risk of poor health</w:t>
      </w:r>
      <w:r>
        <w:t>.</w:t>
      </w:r>
      <w:r w:rsidRPr="007930A9">
        <w:rPr>
          <w:vertAlign w:val="superscript"/>
        </w:rPr>
        <w:t>51</w:t>
      </w:r>
    </w:p>
    <w:p w:rsidRPr="00673D7D" w:rsidR="006C28CC" w:rsidP="006C28CC" w:rsidRDefault="006C28CC" w14:paraId="14099C2E" w14:textId="281CF86A">
      <w:r>
        <w:t>The research highlighted a range of challenges of integrating research and practice when it comes to complex community interventions. Successful community and stakeholder engagement requires their involvement from the beginning, and at all stages of method design, delivery, evaluation</w:t>
      </w:r>
      <w:r w:rsidR="0079472F">
        <w:t>,</w:t>
      </w:r>
      <w:r>
        <w:t xml:space="preserve"> and dissemination. </w:t>
      </w:r>
      <w:r w:rsidRPr="00673D7D">
        <w:t>Test</w:t>
      </w:r>
      <w:r>
        <w:t>ing</w:t>
      </w:r>
      <w:r w:rsidRPr="00673D7D">
        <w:t xml:space="preserve"> the data with lived experience can give a better understanding between what the data shows and reasons behind it.</w:t>
      </w:r>
      <w:r>
        <w:t xml:space="preserve"> </w:t>
      </w:r>
      <w:r w:rsidRPr="0056128A">
        <w:t>For example, the DATA 1 project in Bradford aimed at tackling inequalities in the diagnosis, service access and support of people with autism and neurodiversity, tested their data with key stakeholders such as teachers, parents and pupils. This engagement from an early stage ensured backing, sign up and commitment from local leaders to overcome boundaries and identify available resources. The projects was a success and has been picked up at the national level.</w:t>
      </w:r>
      <w:r w:rsidRPr="007930A9">
        <w:rPr>
          <w:vertAlign w:val="superscript"/>
        </w:rPr>
        <w:t>52,54</w:t>
      </w:r>
    </w:p>
    <w:p w:rsidRPr="007930A9" w:rsidR="006C28CC" w:rsidP="006C28CC" w:rsidRDefault="006C28CC" w14:paraId="4FB9502D" w14:textId="0A6AE606">
      <w:pPr>
        <w:rPr>
          <w:b/>
          <w:bCs/>
        </w:rPr>
      </w:pPr>
      <w:r>
        <w:t xml:space="preserve">Based on their discussions with key stakeholders in the Better Start Bradford programme, </w:t>
      </w:r>
      <w:r w:rsidR="00CD2A86">
        <w:t xml:space="preserve">it was </w:t>
      </w:r>
      <w:r>
        <w:t>suggest</w:t>
      </w:r>
      <w:r w:rsidR="00CD2A86">
        <w:t>ed</w:t>
      </w:r>
      <w:r>
        <w:t xml:space="preserve"> that establishing a Community Advisory Group made up of local people will facilitate this integrated involvement</w:t>
      </w:r>
      <w:r w:rsidRPr="00CD2A86" w:rsidR="00CD2A86">
        <w:rPr>
          <w:vertAlign w:val="superscript"/>
        </w:rPr>
        <w:t>52</w:t>
      </w:r>
      <w:r>
        <w:t>. These Community Advisory Groups would be involved in every stage of intervention design and evaluation development and play a key role in the interpretation and the dissemination of findings prior to them being made public. The starting point for this is a careful mapping out of all key stakeholders followed by regular and effective communication. This contact would ensure that all stakeholders know how to work together and have a greater understanding of priorities and pressures to allow shared objectives to be agreed.</w:t>
      </w:r>
    </w:p>
    <w:p w:rsidR="006C28CC" w:rsidP="006C28CC" w:rsidRDefault="006C28CC" w14:paraId="1345A26C" w14:textId="77777777">
      <w:pPr>
        <w:pStyle w:val="Heading3Numb"/>
      </w:pPr>
      <w:bookmarkStart w:name="_Toc139619167" w:id="113"/>
      <w:r>
        <w:t>Common conditions for success and areas of challenge</w:t>
      </w:r>
      <w:bookmarkEnd w:id="113"/>
    </w:p>
    <w:p w:rsidR="006C28CC" w:rsidP="006C28CC" w:rsidRDefault="006C28CC" w14:paraId="7174B511" w14:textId="77777777">
      <w:r>
        <w:t>Throughout the above literature, a number of common conditions for success and areas of challenge have been identified in relation to engaging with local communities. These have been grouped based on the three themes for the assessment of ICS in the table below.</w:t>
      </w:r>
    </w:p>
    <w:p w:rsidRPr="003E51C0" w:rsidR="006C28CC" w:rsidP="006C28CC" w:rsidRDefault="006C28CC" w14:paraId="255330FB" w14:textId="0B3E3A86">
      <w:pPr>
        <w:rPr>
          <w:b/>
          <w:bCs/>
        </w:rPr>
      </w:pPr>
      <w:r w:rsidRPr="003E51C0">
        <w:rPr>
          <w:b/>
          <w:bCs/>
        </w:rPr>
        <w:t xml:space="preserve">Table </w:t>
      </w:r>
      <w:r w:rsidR="00CD2A86">
        <w:rPr>
          <w:b/>
          <w:bCs/>
        </w:rPr>
        <w:t>4</w:t>
      </w:r>
      <w:r w:rsidRPr="003E51C0">
        <w:rPr>
          <w:b/>
          <w:bCs/>
        </w:rPr>
        <w:t xml:space="preserve"> – Theme </w:t>
      </w:r>
      <w:r>
        <w:rPr>
          <w:b/>
          <w:bCs/>
        </w:rPr>
        <w:t>3</w:t>
      </w:r>
      <w:r w:rsidRPr="003E51C0">
        <w:rPr>
          <w:b/>
          <w:bCs/>
        </w:rPr>
        <w:t xml:space="preserve">: common conditions for success and areas of challenge </w:t>
      </w:r>
    </w:p>
    <w:tbl>
      <w:tblPr>
        <w:tblStyle w:val="PlainTable1"/>
        <w:tblW w:w="5060" w:type="pct"/>
        <w:tblLook w:val="0420" w:firstRow="1" w:lastRow="0" w:firstColumn="0" w:lastColumn="0" w:noHBand="0" w:noVBand="1"/>
      </w:tblPr>
      <w:tblGrid>
        <w:gridCol w:w="1404"/>
        <w:gridCol w:w="4169"/>
        <w:gridCol w:w="4170"/>
      </w:tblGrid>
      <w:tr w:rsidR="006C28CC" w:rsidTr="000229E6" w14:paraId="41F9A90B" w14:textId="77777777">
        <w:trPr>
          <w:cnfStyle w:val="100000000000" w:firstRow="1" w:lastRow="0" w:firstColumn="0" w:lastColumn="0" w:oddVBand="0" w:evenVBand="0" w:oddHBand="0" w:evenHBand="0" w:firstRowFirstColumn="0" w:firstRowLastColumn="0" w:lastRowFirstColumn="0" w:lastRowLastColumn="0"/>
          <w:trHeight w:val="323"/>
          <w:tblHeader/>
        </w:trPr>
        <w:tc>
          <w:tcPr>
            <w:tcW w:w="0" w:type="pct"/>
          </w:tcPr>
          <w:p w:rsidR="006C28CC" w:rsidP="000229E6" w:rsidRDefault="006C28CC" w14:paraId="038AE4EE" w14:textId="77777777">
            <w:pPr>
              <w:spacing w:after="120"/>
            </w:pPr>
            <w:bookmarkStart w:name="_Hlk141432481" w:id="114"/>
          </w:p>
        </w:tc>
        <w:tc>
          <w:tcPr>
            <w:tcW w:w="0" w:type="pct"/>
          </w:tcPr>
          <w:p w:rsidR="006C28CC" w:rsidP="000229E6" w:rsidRDefault="006C28CC" w14:paraId="027D267A" w14:textId="77777777">
            <w:pPr>
              <w:spacing w:after="120"/>
            </w:pPr>
            <w:r>
              <w:t>Common conditions for success</w:t>
            </w:r>
          </w:p>
        </w:tc>
        <w:tc>
          <w:tcPr>
            <w:tcW w:w="0" w:type="pct"/>
          </w:tcPr>
          <w:p w:rsidR="006C28CC" w:rsidP="000229E6" w:rsidRDefault="006C28CC" w14:paraId="1639C9A6" w14:textId="77777777">
            <w:pPr>
              <w:spacing w:after="120"/>
            </w:pPr>
            <w:r>
              <w:t>Common areas of challenge</w:t>
            </w:r>
          </w:p>
        </w:tc>
      </w:tr>
      <w:tr w:rsidR="006C28CC" w:rsidTr="000229E6" w14:paraId="2F224337" w14:textId="77777777">
        <w:trPr>
          <w:cnfStyle w:val="000000100000" w:firstRow="0" w:lastRow="0" w:firstColumn="0" w:lastColumn="0" w:oddVBand="0" w:evenVBand="0" w:oddHBand="1" w:evenHBand="0" w:firstRowFirstColumn="0" w:firstRowLastColumn="0" w:lastRowFirstColumn="0" w:lastRowLastColumn="0"/>
          <w:trHeight w:val="843"/>
        </w:trPr>
        <w:tc>
          <w:tcPr>
            <w:tcW w:w="0" w:type="pct"/>
          </w:tcPr>
          <w:p w:rsidRPr="006479B0" w:rsidR="006C28CC" w:rsidP="000229E6" w:rsidRDefault="006C28CC" w14:paraId="21D6DD45" w14:textId="77777777">
            <w:pPr>
              <w:spacing w:after="120"/>
            </w:pPr>
            <w:r>
              <w:t>Leadership</w:t>
            </w:r>
          </w:p>
        </w:tc>
        <w:tc>
          <w:tcPr>
            <w:tcW w:w="0" w:type="pct"/>
          </w:tcPr>
          <w:p w:rsidR="006C28CC" w:rsidP="006C28CC" w:rsidRDefault="006C28CC" w14:paraId="4AF3647A" w14:textId="77777777">
            <w:pPr>
              <w:pStyle w:val="ListParagraph"/>
              <w:numPr>
                <w:ilvl w:val="0"/>
                <w:numId w:val="10"/>
              </w:numPr>
              <w:spacing w:after="120" w:line="240" w:lineRule="auto"/>
              <w:ind w:left="360"/>
              <w:contextualSpacing w:val="0"/>
            </w:pPr>
            <w:r w:rsidRPr="005D5335">
              <w:rPr>
                <w:b/>
                <w:bCs/>
              </w:rPr>
              <w:t>Involve communities from the start</w:t>
            </w:r>
            <w:r w:rsidRPr="00F50E93">
              <w:t xml:space="preserve"> (</w:t>
            </w:r>
            <w:r>
              <w:t>ie</w:t>
            </w:r>
            <w:r w:rsidRPr="00F50E93">
              <w:t xml:space="preserve"> setting priorities or design stage) and </w:t>
            </w:r>
            <w:r>
              <w:t xml:space="preserve">enable </w:t>
            </w:r>
            <w:r w:rsidRPr="00F50E93">
              <w:t>them to get involved as much or as little as they are able or wish to</w:t>
            </w:r>
            <w:r>
              <w:t xml:space="preserve">: </w:t>
            </w:r>
            <w:r w:rsidRPr="005D5335">
              <w:rPr>
                <w:i/>
                <w:iCs/>
              </w:rPr>
              <w:t>“Communication, trust and knowledge translation between stakeholders both strategically and operationally is paramount.”</w:t>
            </w:r>
            <w:r w:rsidRPr="00D072B7">
              <w:rPr>
                <w:vertAlign w:val="superscript"/>
              </w:rPr>
              <w:t>4</w:t>
            </w:r>
            <w:r w:rsidRPr="000F7A4D">
              <w:rPr>
                <w:vertAlign w:val="superscript"/>
              </w:rPr>
              <w:t>6</w:t>
            </w:r>
          </w:p>
        </w:tc>
        <w:tc>
          <w:tcPr>
            <w:tcW w:w="0" w:type="pct"/>
          </w:tcPr>
          <w:p w:rsidR="006C28CC" w:rsidP="006C28CC" w:rsidRDefault="006C28CC" w14:paraId="76626FF0" w14:textId="77777777">
            <w:pPr>
              <w:pStyle w:val="ListParagraph"/>
              <w:numPr>
                <w:ilvl w:val="0"/>
                <w:numId w:val="10"/>
              </w:numPr>
              <w:spacing w:after="120" w:line="240" w:lineRule="auto"/>
              <w:ind w:left="360"/>
              <w:contextualSpacing w:val="0"/>
            </w:pPr>
            <w:r w:rsidRPr="000F7A4D">
              <w:rPr>
                <w:b/>
                <w:bCs/>
              </w:rPr>
              <w:t>Voluntary community-based organisations</w:t>
            </w:r>
            <w:r w:rsidRPr="001E3D04">
              <w:t xml:space="preserve">, crucial to the success of our community engagement strategies, </w:t>
            </w:r>
            <w:r w:rsidRPr="000F7A4D">
              <w:rPr>
                <w:b/>
                <w:bCs/>
              </w:rPr>
              <w:t>are vulnerable to change</w:t>
            </w:r>
            <w:r w:rsidRPr="001E3D04">
              <w:t xml:space="preserve"> in economic, cultural and political circumstances</w:t>
            </w:r>
            <w:r>
              <w:t>.</w:t>
            </w:r>
          </w:p>
          <w:p w:rsidRPr="00217287" w:rsidR="006C28CC" w:rsidP="006C28CC" w:rsidRDefault="006C28CC" w14:paraId="396D3F4D" w14:textId="77777777">
            <w:pPr>
              <w:pStyle w:val="ListParagraph"/>
              <w:numPr>
                <w:ilvl w:val="0"/>
                <w:numId w:val="10"/>
              </w:numPr>
              <w:spacing w:after="120" w:line="240" w:lineRule="auto"/>
              <w:ind w:left="360"/>
              <w:contextualSpacing w:val="0"/>
            </w:pPr>
            <w:r w:rsidRPr="00217287">
              <w:t>Local conflicts of interest and disparities of power and influence</w:t>
            </w:r>
            <w:r>
              <w:t xml:space="preserve"> </w:t>
            </w:r>
            <w:r w:rsidRPr="00217287">
              <w:t>can hinder policy intent and create risks in partnership participation.</w:t>
            </w:r>
          </w:p>
        </w:tc>
      </w:tr>
      <w:tr w:rsidR="006C28CC" w:rsidTr="000229E6" w14:paraId="15E0EB26" w14:textId="77777777">
        <w:trPr>
          <w:trHeight w:val="565"/>
        </w:trPr>
        <w:tc>
          <w:tcPr>
            <w:tcW w:w="682" w:type="pct"/>
          </w:tcPr>
          <w:p w:rsidRPr="006479B0" w:rsidR="006C28CC" w:rsidP="000229E6" w:rsidRDefault="006C28CC" w14:paraId="50797171" w14:textId="77777777">
            <w:pPr>
              <w:spacing w:after="120"/>
            </w:pPr>
            <w:r>
              <w:t>Integration</w:t>
            </w:r>
          </w:p>
        </w:tc>
        <w:tc>
          <w:tcPr>
            <w:tcW w:w="2159" w:type="pct"/>
          </w:tcPr>
          <w:p w:rsidRPr="006479B0" w:rsidR="006C28CC" w:rsidP="006C28CC" w:rsidRDefault="006C28CC" w14:paraId="5E01DB6F" w14:textId="77777777">
            <w:pPr>
              <w:pStyle w:val="ListParagraph"/>
              <w:numPr>
                <w:ilvl w:val="0"/>
                <w:numId w:val="10"/>
              </w:numPr>
              <w:spacing w:after="120" w:line="240" w:lineRule="auto"/>
              <w:ind w:left="357" w:hanging="357"/>
              <w:contextualSpacing w:val="0"/>
            </w:pPr>
            <w:r w:rsidRPr="001E3D04">
              <w:rPr>
                <w:b/>
                <w:bCs/>
              </w:rPr>
              <w:t>Bottom-up approach to community engagement:</w:t>
            </w:r>
            <w:r>
              <w:t xml:space="preserve"> Involvement of community champions in interventions can aid accessing underserved groups and</w:t>
            </w:r>
            <w:r w:rsidRPr="001E3D04">
              <w:t xml:space="preserve"> provide culturally appropriate </w:t>
            </w:r>
            <w:r>
              <w:t xml:space="preserve">and competent </w:t>
            </w:r>
            <w:r w:rsidRPr="001E3D04">
              <w:t xml:space="preserve">ways of </w:t>
            </w:r>
            <w:r>
              <w:t>delivering</w:t>
            </w:r>
            <w:r w:rsidRPr="001E3D04">
              <w:t xml:space="preserve"> health messages</w:t>
            </w:r>
            <w:r>
              <w:t xml:space="preserve"> (especially if these are sensitive)</w:t>
            </w:r>
            <w:r w:rsidRPr="001E3D04">
              <w:t>.</w:t>
            </w:r>
            <w:r>
              <w:t xml:space="preserve"> This can help </w:t>
            </w:r>
            <w:r w:rsidRPr="001E3D04">
              <w:t>build</w:t>
            </w:r>
            <w:r>
              <w:t xml:space="preserve">ing </w:t>
            </w:r>
            <w:r w:rsidRPr="001E3D04">
              <w:t>sustained and trusting relationships between services and communities</w:t>
            </w:r>
            <w:r>
              <w:t xml:space="preserve">. </w:t>
            </w:r>
          </w:p>
        </w:tc>
        <w:tc>
          <w:tcPr>
            <w:tcW w:w="2159" w:type="pct"/>
          </w:tcPr>
          <w:p w:rsidR="006C28CC" w:rsidP="006C28CC" w:rsidRDefault="006C28CC" w14:paraId="084C13EF" w14:textId="77777777">
            <w:pPr>
              <w:pStyle w:val="ListParagraph"/>
              <w:numPr>
                <w:ilvl w:val="0"/>
                <w:numId w:val="10"/>
              </w:numPr>
              <w:spacing w:after="120" w:line="240" w:lineRule="auto"/>
              <w:ind w:left="360"/>
              <w:contextualSpacing w:val="0"/>
            </w:pPr>
            <w:r>
              <w:t xml:space="preserve">For community champions to be able to translate approaches into practice, </w:t>
            </w:r>
            <w:r w:rsidRPr="005D5335">
              <w:rPr>
                <w:b/>
                <w:bCs/>
              </w:rPr>
              <w:t>support and training</w:t>
            </w:r>
            <w:r>
              <w:t xml:space="preserve"> is required (especially if they are supporting mental health). </w:t>
            </w:r>
          </w:p>
          <w:p w:rsidR="006C28CC" w:rsidP="006C28CC" w:rsidRDefault="006C28CC" w14:paraId="69A56CCC" w14:textId="77777777">
            <w:pPr>
              <w:pStyle w:val="ListParagraph"/>
              <w:numPr>
                <w:ilvl w:val="0"/>
                <w:numId w:val="10"/>
              </w:numPr>
              <w:spacing w:after="120" w:line="240" w:lineRule="auto"/>
              <w:ind w:left="360"/>
              <w:contextualSpacing w:val="0"/>
            </w:pPr>
            <w:r w:rsidRPr="00CD2EC7">
              <w:t>Lower levels of wellbeing and socioeconomic positions</w:t>
            </w:r>
            <w:r w:rsidRPr="00F50E93">
              <w:t xml:space="preserve"> are individually associated with lower levels of cultural engagement. </w:t>
            </w:r>
            <w:r w:rsidRPr="000F7A4D">
              <w:rPr>
                <w:b/>
                <w:bCs/>
              </w:rPr>
              <w:t>Physical opportunity, educational attainment</w:t>
            </w:r>
            <w:r w:rsidRPr="00F50E93">
              <w:t xml:space="preserve"> and </w:t>
            </w:r>
            <w:r w:rsidRPr="000F7A4D">
              <w:rPr>
                <w:b/>
                <w:bCs/>
              </w:rPr>
              <w:t>socio-economic disadvantage of the area</w:t>
            </w:r>
            <w:r>
              <w:t xml:space="preserve"> </w:t>
            </w:r>
            <w:r w:rsidRPr="000F7A4D">
              <w:rPr>
                <w:b/>
                <w:bCs/>
              </w:rPr>
              <w:t>are</w:t>
            </w:r>
            <w:r w:rsidRPr="00F50E93">
              <w:t xml:space="preserve"> </w:t>
            </w:r>
            <w:r w:rsidRPr="000F7A4D">
              <w:rPr>
                <w:b/>
                <w:bCs/>
              </w:rPr>
              <w:t>barriers to participation</w:t>
            </w:r>
            <w:r w:rsidRPr="00F50E93">
              <w:t xml:space="preserve">. </w:t>
            </w:r>
          </w:p>
          <w:p w:rsidRPr="006479B0" w:rsidR="006C28CC" w:rsidP="006C28CC" w:rsidRDefault="006C28CC" w14:paraId="0A4BB810" w14:textId="77777777">
            <w:pPr>
              <w:pStyle w:val="ListParagraph"/>
              <w:numPr>
                <w:ilvl w:val="0"/>
                <w:numId w:val="10"/>
              </w:numPr>
              <w:spacing w:after="120" w:line="240" w:lineRule="auto"/>
              <w:ind w:left="360"/>
              <w:contextualSpacing w:val="0"/>
            </w:pPr>
            <w:r w:rsidRPr="0037037D">
              <w:rPr>
                <w:b/>
                <w:bCs/>
              </w:rPr>
              <w:t>Longer time period:</w:t>
            </w:r>
            <w:r>
              <w:t xml:space="preserve"> establishing a partnership that will last requires building trust which takes time; co-production takes longer than working as a solo organisation or even a partnership</w:t>
            </w:r>
          </w:p>
        </w:tc>
      </w:tr>
      <w:tr w:rsidR="006C28CC" w:rsidTr="000229E6" w14:paraId="7CEF7C02" w14:textId="77777777">
        <w:trPr>
          <w:cnfStyle w:val="000000100000" w:firstRow="0" w:lastRow="0" w:firstColumn="0" w:lastColumn="0" w:oddVBand="0" w:evenVBand="0" w:oddHBand="1" w:evenHBand="0" w:firstRowFirstColumn="0" w:firstRowLastColumn="0" w:lastRowFirstColumn="0" w:lastRowLastColumn="0"/>
          <w:trHeight w:val="124"/>
        </w:trPr>
        <w:tc>
          <w:tcPr>
            <w:tcW w:w="0" w:type="pct"/>
          </w:tcPr>
          <w:p w:rsidRPr="006479B0" w:rsidR="006C28CC" w:rsidP="000229E6" w:rsidRDefault="006C28CC" w14:paraId="70A9C028" w14:textId="77777777">
            <w:pPr>
              <w:spacing w:after="120"/>
            </w:pPr>
            <w:r>
              <w:t>Quality and safety</w:t>
            </w:r>
          </w:p>
        </w:tc>
        <w:tc>
          <w:tcPr>
            <w:tcW w:w="0" w:type="pct"/>
          </w:tcPr>
          <w:p w:rsidR="006C28CC" w:rsidP="006C28CC" w:rsidRDefault="006C28CC" w14:paraId="3B3DB6F1" w14:textId="77777777">
            <w:pPr>
              <w:pStyle w:val="ListParagraph"/>
              <w:numPr>
                <w:ilvl w:val="0"/>
                <w:numId w:val="10"/>
              </w:numPr>
              <w:spacing w:after="120" w:line="240" w:lineRule="auto"/>
              <w:ind w:left="309"/>
              <w:contextualSpacing w:val="0"/>
            </w:pPr>
            <w:r>
              <w:t>C</w:t>
            </w:r>
            <w:r w:rsidRPr="00424F3D">
              <w:t>ommunity engagement needs to go beyond traditional individualistic approaches (</w:t>
            </w:r>
            <w:r>
              <w:t>eg</w:t>
            </w:r>
            <w:r w:rsidRPr="00424F3D">
              <w:t xml:space="preserve"> monetary incentives) and ought to </w:t>
            </w:r>
            <w:r w:rsidRPr="00C711F8">
              <w:rPr>
                <w:b/>
                <w:bCs/>
              </w:rPr>
              <w:t>consider socio-cultural influences on individual behaviour</w:t>
            </w:r>
            <w:r w:rsidRPr="00424F3D">
              <w:t>.</w:t>
            </w:r>
          </w:p>
          <w:p w:rsidRPr="006479B0" w:rsidR="006C28CC" w:rsidP="006C28CC" w:rsidRDefault="006C28CC" w14:paraId="49A0117E" w14:textId="77777777">
            <w:pPr>
              <w:pStyle w:val="ListParagraph"/>
              <w:numPr>
                <w:ilvl w:val="0"/>
                <w:numId w:val="10"/>
              </w:numPr>
              <w:spacing w:after="120" w:line="240" w:lineRule="auto"/>
              <w:ind w:left="357" w:hanging="357"/>
              <w:contextualSpacing w:val="0"/>
            </w:pPr>
            <w:r>
              <w:rPr>
                <w:b/>
                <w:bCs/>
              </w:rPr>
              <w:t>Understanding communities:</w:t>
            </w:r>
            <w:r>
              <w:t xml:space="preserve"> For services to be culturally competent, they require to meet the cultural, social and linguistic needs of the communities, and understand cultural and religious perspectives and be able to adapt to them. </w:t>
            </w:r>
          </w:p>
        </w:tc>
        <w:tc>
          <w:tcPr>
            <w:tcW w:w="0" w:type="pct"/>
          </w:tcPr>
          <w:p w:rsidR="006C28CC" w:rsidP="006C28CC" w:rsidRDefault="006C28CC" w14:paraId="1CCBF5BA" w14:textId="77777777">
            <w:pPr>
              <w:pStyle w:val="ListParagraph"/>
              <w:numPr>
                <w:ilvl w:val="0"/>
                <w:numId w:val="10"/>
              </w:numPr>
              <w:spacing w:after="120" w:line="240" w:lineRule="auto"/>
              <w:ind w:left="309"/>
              <w:contextualSpacing w:val="0"/>
            </w:pPr>
            <w:r w:rsidRPr="00F50E93">
              <w:t xml:space="preserve">Online approaches to engaging with communities might not be suitable for </w:t>
            </w:r>
            <w:r>
              <w:t xml:space="preserve">certain groups of </w:t>
            </w:r>
            <w:r w:rsidRPr="00F50E93">
              <w:t>people.</w:t>
            </w:r>
          </w:p>
          <w:p w:rsidRPr="006479B0" w:rsidR="006C28CC" w:rsidP="000229E6" w:rsidRDefault="006C28CC" w14:paraId="579EAA13" w14:textId="77777777">
            <w:pPr>
              <w:spacing w:after="120" w:line="240" w:lineRule="auto"/>
              <w:ind w:left="-51"/>
            </w:pPr>
          </w:p>
        </w:tc>
      </w:tr>
    </w:tbl>
    <w:bookmarkEnd w:id="114"/>
    <w:p w:rsidR="006C28CC" w:rsidP="006C28CC" w:rsidRDefault="006C28CC" w14:paraId="0A754227" w14:textId="77777777">
      <w:pPr>
        <w:spacing w:before="240"/>
      </w:pPr>
      <w:r>
        <w:t>Please note: the common conditions and factors for success have been grouped thematically, however, these may be categorised differently following the refinement of the ICS assessment themes.</w:t>
      </w:r>
    </w:p>
    <w:p w:rsidRPr="004138FE" w:rsidR="006C28CC" w:rsidP="006C28CC" w:rsidRDefault="006C28CC" w14:paraId="25FC1EF1" w14:textId="77777777">
      <w:pPr>
        <w:spacing w:before="240"/>
        <w:rPr>
          <w:rFonts w:cs="Arial"/>
          <w:szCs w:val="24"/>
        </w:rPr>
        <w:sectPr w:rsidRPr="004138FE" w:rsidR="006C28CC" w:rsidSect="00EE26DE">
          <w:headerReference w:type="even" r:id="rId34"/>
          <w:headerReference w:type="default" r:id="rId35"/>
          <w:footerReference w:type="even" r:id="rId36"/>
          <w:footerReference w:type="default" r:id="rId37"/>
          <w:headerReference w:type="first" r:id="rId38"/>
          <w:endnotePr>
            <w:numFmt w:val="decimal"/>
          </w:endnotePr>
          <w:pgSz w:w="11906" w:h="16838" w:orient="portrait"/>
          <w:pgMar w:top="1985" w:right="1418" w:bottom="1134" w:left="851" w:header="624" w:footer="510" w:gutter="0"/>
          <w:cols w:space="708"/>
          <w:docGrid w:linePitch="360"/>
        </w:sectPr>
      </w:pPr>
    </w:p>
    <w:p w:rsidR="00E80280" w:rsidP="0076419C" w:rsidRDefault="00EB4041" w14:paraId="59D9BDB3" w14:textId="4705507D">
      <w:pPr>
        <w:pStyle w:val="Heading1Num"/>
      </w:pPr>
      <w:bookmarkStart w:name="_Toc146539770" w:id="115"/>
      <w:r>
        <w:t>Discussion of findings</w:t>
      </w:r>
      <w:bookmarkEnd w:id="93"/>
      <w:bookmarkEnd w:id="94"/>
      <w:bookmarkEnd w:id="95"/>
      <w:bookmarkEnd w:id="96"/>
      <w:bookmarkEnd w:id="97"/>
      <w:bookmarkEnd w:id="98"/>
      <w:bookmarkEnd w:id="99"/>
      <w:bookmarkEnd w:id="115"/>
    </w:p>
    <w:p w:rsidRPr="00E80280" w:rsidR="00E80280" w:rsidRDefault="00E80280" w14:paraId="2F15B009" w14:textId="14854956">
      <w:pPr>
        <w:spacing w:before="240"/>
      </w:pPr>
      <w:r>
        <w:t xml:space="preserve">This literature review describes the ways of identifying local inequalities, approaches and </w:t>
      </w:r>
      <w:r w:rsidR="00217EE1">
        <w:t>method</w:t>
      </w:r>
      <w:r>
        <w:t xml:space="preserve">s to addressing these, and types of successful community engagement approaches. </w:t>
      </w:r>
      <w:r w:rsidRPr="00E80280">
        <w:t xml:space="preserve">In this section, we draw on findings from the literature and </w:t>
      </w:r>
      <w:r w:rsidR="004138FE">
        <w:t>reflections from</w:t>
      </w:r>
      <w:r w:rsidRPr="00E80280">
        <w:t xml:space="preserve"> the expert panel to present areas of learning for CQC.</w:t>
      </w:r>
    </w:p>
    <w:p w:rsidR="00885454" w:rsidP="00885454" w:rsidRDefault="00885454" w14:paraId="2DEE7E06" w14:textId="6B0E452A">
      <w:pPr>
        <w:pStyle w:val="Heading2Num"/>
        <w:ind w:left="680"/>
      </w:pPr>
      <w:bookmarkStart w:name="_Toc139619169" w:id="116"/>
      <w:r>
        <w:t>Reflections from the expert panel</w:t>
      </w:r>
      <w:bookmarkEnd w:id="116"/>
    </w:p>
    <w:p w:rsidR="00E84BCE" w:rsidP="00B07049" w:rsidRDefault="00E84BCE" w14:paraId="68B5DCB3" w14:textId="77777777">
      <w:pPr>
        <w:pStyle w:val="Heading3Numb"/>
      </w:pPr>
      <w:bookmarkStart w:name="_Toc139619170" w:id="117"/>
      <w:r>
        <w:t>Theme 1: What are effective ways of identifying local health inequalities or potential health inequalities?</w:t>
      </w:r>
      <w:bookmarkEnd w:id="117"/>
    </w:p>
    <w:p w:rsidRPr="000F3150" w:rsidR="00E84BCE" w:rsidP="00E84BCE" w:rsidRDefault="00E84BCE" w14:paraId="1FEC7FDB" w14:textId="160D541C">
      <w:r w:rsidRPr="000F3150">
        <w:t xml:space="preserve">It was mentioned within the expert panel workshop, the existence of national tools, profiles, indicators (developed by the Office of Health </w:t>
      </w:r>
      <w:r w:rsidR="00C6598C">
        <w:t xml:space="preserve">Improvement and </w:t>
      </w:r>
      <w:r w:rsidRPr="000F3150">
        <w:t>Disparities) which are widely used to identify and monitor trends in inequalities. It was recognised by many in the workshop session that these types of tools are commonly used by systems to identify health inequalities, however, this practice was less commonly cited within the literature</w:t>
      </w:r>
      <w:r w:rsidR="00A43616">
        <w:t xml:space="preserve"> in-scope for this review</w:t>
      </w:r>
      <w:r w:rsidRPr="000F3150">
        <w:t>.</w:t>
      </w:r>
      <w:r w:rsidR="00A43616">
        <w:t xml:space="preserve"> This might be due to these tools being well-established and less likely to be subject for further research.</w:t>
      </w:r>
    </w:p>
    <w:p w:rsidRPr="000F3150" w:rsidR="00E84BCE" w:rsidP="00E84BCE" w:rsidRDefault="00E84BCE" w14:paraId="4EF1B4EC" w14:textId="62D58B34">
      <w:r w:rsidRPr="000F3150">
        <w:t>There was also discussion around how segmentation approaches are typically less accurate within inner city populations – as health inequalities may not be coterminous with a particular health and care system geography. It was recognised that this may skew empirical analysis for some areas. This was also referenced within the literature</w:t>
      </w:r>
      <w:r w:rsidR="00F512DC">
        <w:rPr>
          <w:vertAlign w:val="superscript"/>
        </w:rPr>
        <w:t>2</w:t>
      </w:r>
      <w:r w:rsidR="00F512DC">
        <w:t xml:space="preserve">, through discussion </w:t>
      </w:r>
      <w:r w:rsidRPr="000F3150">
        <w:t xml:space="preserve">that traditional segmenting approaches based on age and morbidity do not accurately reflect actual use of health and care services, however, cluster analysis of linked primary and secondary healthcare use data for a local GP-registered population can segment the population into distinct groups with </w:t>
      </w:r>
      <w:r>
        <w:t>defined</w:t>
      </w:r>
      <w:r w:rsidRPr="000F3150">
        <w:t xml:space="preserve"> health and care needs.</w:t>
      </w:r>
    </w:p>
    <w:p w:rsidR="00E84BCE" w:rsidP="00E84BCE" w:rsidRDefault="00E84BCE" w14:paraId="29B69CB3" w14:textId="03FACF34">
      <w:r w:rsidRPr="000F3150">
        <w:t xml:space="preserve">Transient populations and residential mobility </w:t>
      </w:r>
      <w:r w:rsidRPr="000F3150" w:rsidR="0076628D">
        <w:t>were</w:t>
      </w:r>
      <w:r w:rsidRPr="000F3150">
        <w:t xml:space="preserve"> also identified as a challenge in addressing health inequalities as these </w:t>
      </w:r>
      <w:r w:rsidR="006D00AF">
        <w:t xml:space="preserve">people </w:t>
      </w:r>
      <w:r w:rsidRPr="000F3150">
        <w:t xml:space="preserve">are less likely to be registered (eg homeless and </w:t>
      </w:r>
      <w:r w:rsidR="00A43616">
        <w:t xml:space="preserve">Gypsy, Roma and Traveller </w:t>
      </w:r>
      <w:r w:rsidRPr="000F3150">
        <w:t xml:space="preserve">communities). Some papers focused on factors such as residential mobility that should be accounted for when identifying health inequalities, as it is recognised that frequent mobility of residents can frequently alter the health of an area. </w:t>
      </w:r>
      <w:r>
        <w:t xml:space="preserve">The </w:t>
      </w:r>
      <w:r w:rsidRPr="004B489B">
        <w:t xml:space="preserve">need to use </w:t>
      </w:r>
      <w:r>
        <w:t>D</w:t>
      </w:r>
      <w:r w:rsidRPr="004B489B">
        <w:t xml:space="preserve">ata </w:t>
      </w:r>
      <w:r>
        <w:t>P</w:t>
      </w:r>
      <w:r w:rsidRPr="004B489B">
        <w:t xml:space="preserve">rotection and </w:t>
      </w:r>
      <w:r>
        <w:t xml:space="preserve">Information </w:t>
      </w:r>
      <w:r w:rsidRPr="004B489B">
        <w:t>G</w:t>
      </w:r>
      <w:r>
        <w:t>overnance</w:t>
      </w:r>
      <w:r w:rsidRPr="004B489B">
        <w:t xml:space="preserve"> legislation as a mechanism for sharing data</w:t>
      </w:r>
      <w:r>
        <w:t xml:space="preserve"> rather than as a barrier to prevent the sharing of data (in the identification of health inequalities) was also referenced. However, there was </w:t>
      </w:r>
      <w:r w:rsidRPr="004B489B">
        <w:t xml:space="preserve">limited evidence within the literature </w:t>
      </w:r>
      <w:r>
        <w:t>in the areas of data sharing</w:t>
      </w:r>
      <w:r w:rsidRPr="004B489B">
        <w:t>.</w:t>
      </w:r>
    </w:p>
    <w:p w:rsidR="00550218" w:rsidP="00B07049" w:rsidRDefault="00550218" w14:paraId="32FADAD0" w14:textId="358F819A">
      <w:pPr>
        <w:pStyle w:val="Heading3Numb"/>
      </w:pPr>
      <w:bookmarkStart w:name="_Toc139619171" w:id="118"/>
      <w:r w:rsidRPr="00550218">
        <w:t xml:space="preserve">Theme 2: What are the evidence-based </w:t>
      </w:r>
      <w:r w:rsidR="00217EE1">
        <w:t>method</w:t>
      </w:r>
      <w:r w:rsidRPr="00550218">
        <w:t>s/approaches that work to address health inequalities within a local area?</w:t>
      </w:r>
      <w:bookmarkEnd w:id="118"/>
      <w:r w:rsidRPr="00550218">
        <w:t xml:space="preserve"> </w:t>
      </w:r>
    </w:p>
    <w:p w:rsidR="00550218" w:rsidP="00550218" w:rsidRDefault="00550218" w14:paraId="5D8CA316" w14:textId="40242898">
      <w:r>
        <w:t xml:space="preserve">From the expert panel review of initial findings, there was consideration </w:t>
      </w:r>
      <w:r w:rsidR="00A43616">
        <w:t>of</w:t>
      </w:r>
      <w:r>
        <w:t xml:space="preserve"> the extent to which the literature discussed sustainability and value for money. While there was some evidence relating to the cost-effectiveness of specific </w:t>
      </w:r>
      <w:r w:rsidR="00217EE1">
        <w:t>method</w:t>
      </w:r>
      <w:r>
        <w:t>s</w:t>
      </w:r>
      <w:r w:rsidR="00A43616">
        <w:t>, there was</w:t>
      </w:r>
      <w:r>
        <w:t xml:space="preserve"> less consideration of sustainability (outside of references to challenges around resource capacity and short-term nature of government funding). There was a general acknowledgement from the expert panel that these two considerations were fundamental to the effectiveness of </w:t>
      </w:r>
      <w:r w:rsidR="00217EE1">
        <w:t>method</w:t>
      </w:r>
      <w:r>
        <w:t>s to address health inequalities in the long-term.</w:t>
      </w:r>
    </w:p>
    <w:p w:rsidR="00550218" w:rsidP="00550218" w:rsidRDefault="00550218" w14:paraId="775973AE" w14:textId="7DBB8C8C">
      <w:r>
        <w:t xml:space="preserve">There was also consideration from the expert panel around the extent of evidence which presents the rationale for specific </w:t>
      </w:r>
      <w:r w:rsidR="00217EE1">
        <w:t>method</w:t>
      </w:r>
      <w:r>
        <w:t xml:space="preserve">s (rather than </w:t>
      </w:r>
      <w:r w:rsidR="00217EE1">
        <w:t>method</w:t>
      </w:r>
      <w:r>
        <w:t>s being determined by national funding</w:t>
      </w:r>
      <w:r w:rsidR="00774E75">
        <w:t>)</w:t>
      </w:r>
      <w:r>
        <w:t xml:space="preserve">. From the literature within this review, there </w:t>
      </w:r>
      <w:r w:rsidR="00F06634">
        <w:t>is</w:t>
      </w:r>
      <w:r>
        <w:t xml:space="preserve"> limited evidence </w:t>
      </w:r>
      <w:r w:rsidR="00774E75">
        <w:t>of health inequalities work being applied to the “whole pathway”</w:t>
      </w:r>
      <w:r>
        <w:t xml:space="preserve"> – from the identification of health inequalities to the establishment and delivery of an </w:t>
      </w:r>
      <w:r w:rsidR="00CC4A72">
        <w:t xml:space="preserve">intervention </w:t>
      </w:r>
      <w:r w:rsidR="00217EE1">
        <w:t>method</w:t>
      </w:r>
      <w:r>
        <w:t xml:space="preserve"> to address this health inequality. </w:t>
      </w:r>
    </w:p>
    <w:p w:rsidRPr="000F7A4D" w:rsidR="00800368" w:rsidP="00550218" w:rsidRDefault="00550218" w14:paraId="7E4D0612" w14:textId="2DE67900">
      <w:pPr>
        <w:rPr>
          <w:color w:val="FF0000"/>
        </w:rPr>
      </w:pPr>
      <w:r w:rsidRPr="00D2124A">
        <w:t xml:space="preserve">The balance within systems between </w:t>
      </w:r>
      <w:r w:rsidR="00217EE1">
        <w:t>method</w:t>
      </w:r>
      <w:r w:rsidRPr="00D2124A">
        <w:t>s that address health inequalities within specific communities (ie those right at the bottom of the inequality gradient) versus aiming to flattening the curve on health inequalities more generally was also a topic of disc</w:t>
      </w:r>
      <w:r>
        <w:t>u</w:t>
      </w:r>
      <w:r w:rsidRPr="00D2124A">
        <w:t xml:space="preserve">ssion within the expert panel. </w:t>
      </w:r>
      <w:r>
        <w:t>For example, improving access / uptake / outcomes across the whole population, with greatest improvements in the most socially disadvantaged.</w:t>
      </w:r>
      <w:r w:rsidRPr="00D2124A">
        <w:t xml:space="preserve"> There have been mixed views on the balance of these two approaches within the literature, although there was an acknowledgement that some universal services may exacerbate health inequalities for specific communities.</w:t>
      </w:r>
      <w:r>
        <w:rPr>
          <w:color w:val="FF0000"/>
        </w:rPr>
        <w:t xml:space="preserve"> </w:t>
      </w:r>
    </w:p>
    <w:p w:rsidR="00E84BCE" w:rsidP="00B07049" w:rsidRDefault="00E84BCE" w14:paraId="45E7F20E" w14:textId="22D0571A">
      <w:pPr>
        <w:pStyle w:val="Heading3Numb"/>
      </w:pPr>
      <w:bookmarkStart w:name="_Toc139619172" w:id="119"/>
      <w:r w:rsidRPr="00601221">
        <w:t xml:space="preserve">Theme </w:t>
      </w:r>
      <w:r>
        <w:t>3</w:t>
      </w:r>
      <w:r w:rsidRPr="00601221">
        <w:t>: What does successful engagement with local people and communities look like?</w:t>
      </w:r>
      <w:bookmarkEnd w:id="119"/>
    </w:p>
    <w:p w:rsidRPr="000D0D06" w:rsidR="00E84BCE" w:rsidP="00E84BCE" w:rsidRDefault="00E84BCE" w14:paraId="4C5E24B5" w14:textId="77777777">
      <w:r w:rsidRPr="000D0D06">
        <w:t xml:space="preserve">While the importance of engaging with communities was recognised, our expert panel highlighted the importance of 'interveners' (eg clinicians, programme manager, strategic lead etc.) within local engagement. This, however, was not as strongly evident in the literature identified. </w:t>
      </w:r>
    </w:p>
    <w:p w:rsidRPr="000D0D06" w:rsidR="00E84BCE" w:rsidP="00E84BCE" w:rsidRDefault="00E84BCE" w14:paraId="52B30307" w14:textId="3E2008F0">
      <w:r w:rsidRPr="000D0D06">
        <w:t>Funding was also discussed, including the importance of ensuring that engagement approaches are</w:t>
      </w:r>
      <w:r w:rsidR="00D904D0">
        <w:t xml:space="preserve"> </w:t>
      </w:r>
      <w:r w:rsidRPr="000D0D06">
        <w:t>n</w:t>
      </w:r>
      <w:r w:rsidR="00D904D0">
        <w:t>o</w:t>
      </w:r>
      <w:r w:rsidRPr="000D0D06">
        <w:t>t</w:t>
      </w:r>
      <w:r w:rsidR="00AA79C8">
        <w:t xml:space="preserve"> putting excess burden on communities </w:t>
      </w:r>
      <w:r w:rsidRPr="000D0D06">
        <w:t xml:space="preserve">(or perceived as such by communities or VCSE organisations). The literature identified echoes the reflections from the panel as it also emphasises funding as a critical factor required for the success of community engagement, but which can also become a point of rivalry for the organisations involved, shifting the focus from communities served to competition for the </w:t>
      </w:r>
      <w:r w:rsidR="00920259">
        <w:t>organisations</w:t>
      </w:r>
      <w:r w:rsidRPr="000D0D06" w:rsidR="00920259">
        <w:t xml:space="preserve"> </w:t>
      </w:r>
      <w:r w:rsidRPr="000D0D06">
        <w:t xml:space="preserve">to survive. </w:t>
      </w:r>
    </w:p>
    <w:p w:rsidRPr="00337DF7" w:rsidR="00E84BCE" w:rsidP="00E84BCE" w:rsidRDefault="00E84BCE" w14:paraId="38880420" w14:textId="6389A40A">
      <w:r w:rsidRPr="000D0D06">
        <w:t xml:space="preserve">Building trust with communities was acknowledged as fundamental, with recognition given </w:t>
      </w:r>
      <w:r w:rsidR="004E28B0">
        <w:t xml:space="preserve">to </w:t>
      </w:r>
      <w:r w:rsidRPr="000D0D06">
        <w:t xml:space="preserve">the complexities that </w:t>
      </w:r>
      <w:r w:rsidRPr="00337DF7">
        <w:t>sit behind this.</w:t>
      </w:r>
      <w:r w:rsidRPr="00337DF7">
        <w:rPr>
          <w:b/>
          <w:bCs/>
        </w:rPr>
        <w:t> </w:t>
      </w:r>
      <w:r w:rsidRPr="00337DF7">
        <w:t>Evidence from the literature suggests that</w:t>
      </w:r>
      <w:r w:rsidR="009D1B6E">
        <w:t>,</w:t>
      </w:r>
      <w:r w:rsidRPr="00337DF7">
        <w:t xml:space="preserve"> in order to build trust with specific communities, programme</w:t>
      </w:r>
      <w:r w:rsidR="002151BB">
        <w:t>s</w:t>
      </w:r>
      <w:r w:rsidRPr="00337DF7">
        <w:t xml:space="preserve"> need to recruit and train the members from that specific community as community researchers o</w:t>
      </w:r>
      <w:r w:rsidR="00920259">
        <w:t>r</w:t>
      </w:r>
      <w:r w:rsidRPr="00337DF7">
        <w:t xml:space="preserve"> wellbeing champions. If lay people are recruited as health trainers, they need to receive appropriate training in order to create culturally competent services. There was also recognition within the feedback from the expert panel around the importance of staff experiences and their ability to relate with the community. </w:t>
      </w:r>
      <w:r w:rsidRPr="00337DF7">
        <w:rPr>
          <w:rFonts w:cs="Arial"/>
          <w:szCs w:val="24"/>
        </w:rPr>
        <w:t xml:space="preserve">A few studies explored the importance of community champions </w:t>
      </w:r>
      <w:r w:rsidR="004D4E27">
        <w:rPr>
          <w:rFonts w:cs="Arial"/>
          <w:szCs w:val="24"/>
        </w:rPr>
        <w:t xml:space="preserve">and their life experiences </w:t>
      </w:r>
      <w:r w:rsidRPr="00337DF7">
        <w:rPr>
          <w:rFonts w:cs="Arial"/>
          <w:szCs w:val="24"/>
        </w:rPr>
        <w:t>which can</w:t>
      </w:r>
      <w:r w:rsidR="004D4E27">
        <w:rPr>
          <w:rFonts w:cs="Arial"/>
          <w:szCs w:val="24"/>
        </w:rPr>
        <w:t xml:space="preserve"> help them to</w:t>
      </w:r>
      <w:r w:rsidRPr="00337DF7">
        <w:rPr>
          <w:rFonts w:cs="Arial"/>
          <w:szCs w:val="24"/>
        </w:rPr>
        <w:t xml:space="preserve"> relate to the populations they </w:t>
      </w:r>
      <w:r w:rsidR="004D4E27">
        <w:rPr>
          <w:rFonts w:cs="Arial"/>
          <w:szCs w:val="24"/>
        </w:rPr>
        <w:t xml:space="preserve">engage with as part of an </w:t>
      </w:r>
      <w:r w:rsidR="00CC4A72">
        <w:rPr>
          <w:rFonts w:cs="Arial"/>
          <w:szCs w:val="24"/>
        </w:rPr>
        <w:t xml:space="preserve">intervention </w:t>
      </w:r>
      <w:r w:rsidR="00217EE1">
        <w:rPr>
          <w:rFonts w:cs="Arial"/>
          <w:szCs w:val="24"/>
        </w:rPr>
        <w:t>method</w:t>
      </w:r>
      <w:r w:rsidRPr="00337DF7">
        <w:rPr>
          <w:rFonts w:cs="Arial"/>
          <w:szCs w:val="24"/>
        </w:rPr>
        <w:t>.</w:t>
      </w:r>
    </w:p>
    <w:p w:rsidR="00487C1E" w:rsidP="007F3273" w:rsidRDefault="003D7D31" w14:paraId="6CCDFB07" w14:textId="31D76770">
      <w:pPr>
        <w:pStyle w:val="Heading2Num"/>
        <w:ind w:left="680"/>
      </w:pPr>
      <w:bookmarkStart w:name="_Toc129957324" w:id="120"/>
      <w:bookmarkStart w:name="_Toc131159239" w:id="121"/>
      <w:bookmarkStart w:name="_Toc131159909" w:id="122"/>
      <w:bookmarkStart w:name="_Toc129865450" w:id="123"/>
      <w:bookmarkStart w:name="_Toc129865498" w:id="124"/>
      <w:bookmarkStart w:name="_Toc129953106" w:id="125"/>
      <w:bookmarkStart w:name="_Toc129953137" w:id="126"/>
      <w:bookmarkStart w:name="_Toc129953216" w:id="127"/>
      <w:bookmarkStart w:name="_Toc129953588" w:id="128"/>
      <w:bookmarkStart w:name="_Toc139619173" w:id="129"/>
      <w:bookmarkEnd w:id="120"/>
      <w:bookmarkEnd w:id="121"/>
      <w:bookmarkEnd w:id="122"/>
      <w:r>
        <w:t>Learning for</w:t>
      </w:r>
      <w:r w:rsidR="00443043">
        <w:t xml:space="preserve"> CQC</w:t>
      </w:r>
      <w:bookmarkEnd w:id="123"/>
      <w:bookmarkEnd w:id="124"/>
      <w:bookmarkEnd w:id="125"/>
      <w:bookmarkEnd w:id="126"/>
      <w:bookmarkEnd w:id="127"/>
      <w:bookmarkEnd w:id="128"/>
      <w:bookmarkEnd w:id="129"/>
    </w:p>
    <w:p w:rsidR="007230B4" w:rsidP="00AE0DF1" w:rsidRDefault="00AE0DF1" w14:paraId="2FA811A6" w14:textId="0789CC58">
      <w:r>
        <w:t xml:space="preserve">The </w:t>
      </w:r>
      <w:r w:rsidR="00885454">
        <w:t xml:space="preserve">literature </w:t>
      </w:r>
      <w:r>
        <w:t xml:space="preserve">review has </w:t>
      </w:r>
      <w:r w:rsidR="00E84BCE">
        <w:t xml:space="preserve">provided evidence on </w:t>
      </w:r>
      <w:r w:rsidR="00885454">
        <w:t>“what works in addressing health inequalities</w:t>
      </w:r>
      <w:r w:rsidR="00E84BCE">
        <w:t>”</w:t>
      </w:r>
      <w:r w:rsidR="00885454">
        <w:t xml:space="preserve"> </w:t>
      </w:r>
      <w:r w:rsidR="00E84BCE">
        <w:t xml:space="preserve">based on </w:t>
      </w:r>
      <w:r w:rsidR="00217EE1">
        <w:t>method</w:t>
      </w:r>
      <w:r w:rsidR="00885454">
        <w:t xml:space="preserve">s that have </w:t>
      </w:r>
      <w:r w:rsidR="00AA79C8">
        <w:t xml:space="preserve">been shared </w:t>
      </w:r>
      <w:r w:rsidR="00E84BCE">
        <w:t>external</w:t>
      </w:r>
      <w:r w:rsidR="00AA79C8">
        <w:t>ly</w:t>
      </w:r>
      <w:r w:rsidR="00E84BCE">
        <w:t xml:space="preserve"> to the health and care system.</w:t>
      </w:r>
      <w:r w:rsidR="00885454">
        <w:t xml:space="preserve"> </w:t>
      </w:r>
      <w:r w:rsidR="00E84BCE">
        <w:t>While there has been somewhat limited</w:t>
      </w:r>
      <w:r w:rsidR="00885454">
        <w:t xml:space="preserve"> </w:t>
      </w:r>
      <w:r w:rsidR="00E84BCE">
        <w:t xml:space="preserve">evaluation of </w:t>
      </w:r>
      <w:r w:rsidR="00217EE1">
        <w:t>method</w:t>
      </w:r>
      <w:r w:rsidR="00E84BCE">
        <w:t xml:space="preserve">s, there has been some recognition that </w:t>
      </w:r>
      <w:r w:rsidR="000D0D06">
        <w:t xml:space="preserve">this literature review will relate to areas of potential “novelty” or considered “good practice” – </w:t>
      </w:r>
      <w:r w:rsidR="00E84BCE">
        <w:t xml:space="preserve">as </w:t>
      </w:r>
      <w:r w:rsidR="00217EE1">
        <w:t>method</w:t>
      </w:r>
      <w:r w:rsidR="00E84BCE">
        <w:t>s / approaches have been selected for either research or case study purposes within guidance documents</w:t>
      </w:r>
      <w:r w:rsidDel="00CD5EF9" w:rsidR="00E84BCE">
        <w:t>.</w:t>
      </w:r>
      <w:r>
        <w:t xml:space="preserve"> </w:t>
      </w:r>
      <w:r w:rsidR="00E84BCE">
        <w:t>This may not however, be reflective of what is currently being implemented within all systems.</w:t>
      </w:r>
    </w:p>
    <w:p w:rsidR="0058454E" w:rsidP="0058454E" w:rsidRDefault="0058454E" w14:paraId="6CE16EE3" w14:textId="54D98BF9">
      <w:r>
        <w:t>From the outset of the literature screening, it was evident that there is more literature to support themes two</w:t>
      </w:r>
      <w:r w:rsidR="00FF2E4C">
        <w:t xml:space="preserve"> and three</w:t>
      </w:r>
      <w:r>
        <w:t>, and there is a limited amount of literature to support theme one. This points to the need for further studies to investigate effective ways of identifying inequalities specifically on a local level, whether it is for a local authority or a trust area.</w:t>
      </w:r>
    </w:p>
    <w:p w:rsidR="0058454E" w:rsidP="0058454E" w:rsidRDefault="0058454E" w14:paraId="1F67E996" w14:textId="35A5032D">
      <w:r>
        <w:t xml:space="preserve">Throughout the review, there was a limited acknowledgement of sustainability within the literature, with many </w:t>
      </w:r>
      <w:r w:rsidR="00217EE1">
        <w:t>method</w:t>
      </w:r>
      <w:r>
        <w:t xml:space="preserve">s being one-off or short-term in nature. As such, it is unclear whether these approaches and </w:t>
      </w:r>
      <w:r w:rsidR="00217EE1">
        <w:t>method</w:t>
      </w:r>
      <w:r>
        <w:t xml:space="preserve">s will have an impact on the extent to which health inequalities can be addressed in the long term. Additionally, the literature gathered through this review provides no learning in terms of supporting the scalability of the </w:t>
      </w:r>
      <w:r w:rsidR="00217EE1">
        <w:t>method</w:t>
      </w:r>
      <w:r>
        <w:t xml:space="preserve">s or approaches which presents a challenge to increase the implementation of these for bigger population groups or to replicate it elsewhere. One of the clear barriers to exploring the sustainability or scalability of the approaches is the funding, which was typically either limited throughout the </w:t>
      </w:r>
      <w:r w:rsidR="00217EE1">
        <w:t>method</w:t>
      </w:r>
      <w:r>
        <w:t xml:space="preserve"> or ceased to exist at the end of the trial period leaving organisations and partnerships under-resourced.</w:t>
      </w:r>
    </w:p>
    <w:p w:rsidR="00E80280" w:rsidDel="0058454E" w:rsidP="004138FE" w:rsidRDefault="0058454E" w14:paraId="5F80A0AC" w14:textId="5F671136">
      <w:r w:rsidRPr="004138FE">
        <w:t>To help CQC with their development of assessments criteria for ICS for how they address health inequalities, we identified a list of useful considerations under each CQC theme in the below table:</w:t>
      </w:r>
      <w:r w:rsidRPr="004138FE" w:rsidR="004138FE">
        <w:t xml:space="preserve"> </w:t>
      </w:r>
    </w:p>
    <w:p w:rsidR="005B46AC" w:rsidP="00EC0502" w:rsidRDefault="005B46AC" w14:paraId="4F78EA99" w14:textId="0A7A207A">
      <w:pPr>
        <w:pStyle w:val="Caption"/>
      </w:pPr>
      <w:r>
        <w:t xml:space="preserve">Table </w:t>
      </w:r>
      <w:r w:rsidR="00CD2A86">
        <w:t>5</w:t>
      </w:r>
      <w:r>
        <w:t xml:space="preserve"> – Considerations for ICS assessment: Leadership, Integration and Quality &amp; Safety themes</w:t>
      </w:r>
    </w:p>
    <w:tbl>
      <w:tblPr>
        <w:tblStyle w:val="TableGrid"/>
        <w:tblW w:w="0" w:type="auto"/>
        <w:tblLook w:val="04A0" w:firstRow="1" w:lastRow="0" w:firstColumn="1" w:lastColumn="0" w:noHBand="0" w:noVBand="1"/>
      </w:tblPr>
      <w:tblGrid>
        <w:gridCol w:w="1497"/>
        <w:gridCol w:w="8130"/>
      </w:tblGrid>
      <w:tr w:rsidR="00CA4252" w:rsidTr="004138FE" w14:paraId="332676A4" w14:textId="77777777">
        <w:trPr>
          <w:tblHeader/>
        </w:trPr>
        <w:tc>
          <w:tcPr>
            <w:tcW w:w="1497" w:type="dxa"/>
          </w:tcPr>
          <w:p w:rsidRPr="004138FE" w:rsidR="00CA4252" w:rsidP="00E358BA" w:rsidRDefault="00684679" w14:paraId="7F6754EE" w14:textId="032BF474">
            <w:pPr>
              <w:spacing w:after="120"/>
              <w:rPr>
                <w:b/>
              </w:rPr>
            </w:pPr>
            <w:r w:rsidRPr="004138FE">
              <w:rPr>
                <w:b/>
              </w:rPr>
              <w:t>Area</w:t>
            </w:r>
          </w:p>
        </w:tc>
        <w:tc>
          <w:tcPr>
            <w:tcW w:w="8130" w:type="dxa"/>
          </w:tcPr>
          <w:p w:rsidRPr="004138FE" w:rsidR="00CA4252" w:rsidP="00E358BA" w:rsidRDefault="00684679" w14:paraId="3A3234F5" w14:textId="35CB6CAB">
            <w:pPr>
              <w:spacing w:after="120"/>
              <w:rPr>
                <w:b/>
              </w:rPr>
            </w:pPr>
            <w:r w:rsidRPr="004138FE">
              <w:rPr>
                <w:b/>
              </w:rPr>
              <w:t>Considerations</w:t>
            </w:r>
          </w:p>
        </w:tc>
      </w:tr>
      <w:tr w:rsidR="00CA4252" w:rsidTr="00672BFB" w14:paraId="1E65C8B0" w14:textId="77777777">
        <w:tc>
          <w:tcPr>
            <w:tcW w:w="1497" w:type="dxa"/>
          </w:tcPr>
          <w:p w:rsidRPr="004138FE" w:rsidR="00CA4252" w:rsidP="00E358BA" w:rsidRDefault="00CA4252" w14:paraId="65A25109" w14:textId="57A01639">
            <w:pPr>
              <w:spacing w:after="120"/>
              <w:rPr>
                <w:rFonts w:eastAsia="Times New Roman" w:cs="Arial"/>
                <w:b/>
                <w:kern w:val="28"/>
                <w:szCs w:val="20"/>
              </w:rPr>
            </w:pPr>
            <w:r w:rsidRPr="004138FE">
              <w:rPr>
                <w:rFonts w:eastAsia="Times New Roman" w:cs="Arial"/>
                <w:b/>
                <w:kern w:val="28"/>
                <w:szCs w:val="20"/>
              </w:rPr>
              <w:t>Leadership</w:t>
            </w:r>
          </w:p>
        </w:tc>
        <w:tc>
          <w:tcPr>
            <w:tcW w:w="8130" w:type="dxa"/>
          </w:tcPr>
          <w:p w:rsidR="00CA4252" w:rsidP="00AF10D4" w:rsidRDefault="0005086E" w14:paraId="68BB923C" w14:textId="24A604EB">
            <w:pPr>
              <w:pStyle w:val="ListParagraph"/>
              <w:numPr>
                <w:ilvl w:val="0"/>
                <w:numId w:val="21"/>
              </w:numPr>
              <w:spacing w:after="120"/>
              <w:ind w:left="357" w:hanging="357"/>
              <w:contextualSpacing w:val="0"/>
            </w:pPr>
            <w:r w:rsidRPr="004138FE">
              <w:rPr>
                <w:b/>
              </w:rPr>
              <w:t>V</w:t>
            </w:r>
            <w:r w:rsidRPr="004138FE" w:rsidR="00CA4252">
              <w:rPr>
                <w:b/>
              </w:rPr>
              <w:t xml:space="preserve">ision </w:t>
            </w:r>
            <w:r w:rsidRPr="004138FE" w:rsidR="00D659E5">
              <w:rPr>
                <w:b/>
                <w:bCs/>
              </w:rPr>
              <w:t>and</w:t>
            </w:r>
            <w:r w:rsidRPr="004138FE" w:rsidR="00D659E5">
              <w:rPr>
                <w:b/>
              </w:rPr>
              <w:t xml:space="preserve"> u</w:t>
            </w:r>
            <w:r w:rsidRPr="004138FE" w:rsidR="00CA4252">
              <w:rPr>
                <w:b/>
              </w:rPr>
              <w:t>nderstanding of the system</w:t>
            </w:r>
            <w:r w:rsidRPr="004138FE" w:rsidR="00D659E5">
              <w:rPr>
                <w:b/>
              </w:rPr>
              <w:t>:</w:t>
            </w:r>
            <w:r w:rsidR="00D659E5">
              <w:t xml:space="preserve"> a clear vision alongside a strong understanding of local health needs will enable translation of plans into clear actions and </w:t>
            </w:r>
            <w:r w:rsidR="009A7742">
              <w:t xml:space="preserve">formation of </w:t>
            </w:r>
            <w:r w:rsidR="00D659E5">
              <w:t>performance indicators</w:t>
            </w:r>
            <w:r w:rsidR="00AB742D">
              <w:t>.</w:t>
            </w:r>
          </w:p>
          <w:p w:rsidRPr="008F7FB0" w:rsidR="00CA4252" w:rsidP="00AF10D4" w:rsidRDefault="00CA4252" w14:paraId="17B226B3" w14:textId="2441D297">
            <w:pPr>
              <w:pStyle w:val="ListParagraph"/>
              <w:numPr>
                <w:ilvl w:val="0"/>
                <w:numId w:val="21"/>
              </w:numPr>
              <w:spacing w:after="120"/>
              <w:ind w:left="357" w:hanging="357"/>
              <w:contextualSpacing w:val="0"/>
            </w:pPr>
            <w:r w:rsidRPr="008F7FB0">
              <w:rPr>
                <w:b/>
              </w:rPr>
              <w:t>Collective ownership</w:t>
            </w:r>
            <w:r w:rsidRPr="008F7FB0" w:rsidR="00D659E5">
              <w:rPr>
                <w:b/>
              </w:rPr>
              <w:t>:</w:t>
            </w:r>
            <w:r w:rsidRPr="008F7FB0" w:rsidR="00D659E5">
              <w:t xml:space="preserve"> ICSs should involve voluntary community-based organisations and anchor institutions </w:t>
            </w:r>
            <w:r w:rsidRPr="008F7FB0" w:rsidR="008F7FB0">
              <w:t xml:space="preserve">in the development of </w:t>
            </w:r>
            <w:r w:rsidR="00217EE1">
              <w:t>method</w:t>
            </w:r>
            <w:r w:rsidRPr="008F7FB0" w:rsidR="008F7FB0">
              <w:t>s and engagement of communities. This creates a collective sense of ownership for addressing health inequalities across the community. Additionally,</w:t>
            </w:r>
            <w:r w:rsidRPr="008F7FB0" w:rsidR="00D659E5">
              <w:t xml:space="preserve"> targeted populations </w:t>
            </w:r>
            <w:r w:rsidRPr="008F7FB0" w:rsidR="00F1741C">
              <w:t xml:space="preserve">might feel more </w:t>
            </w:r>
            <w:r w:rsidRPr="008F7FB0" w:rsidR="008F7FB0">
              <w:t>confident in</w:t>
            </w:r>
            <w:r w:rsidRPr="008F7FB0" w:rsidR="00F1741C">
              <w:t xml:space="preserve"> communicating with non-statutory partners</w:t>
            </w:r>
            <w:r w:rsidRPr="008F7FB0" w:rsidR="00AB742D">
              <w:t>.</w:t>
            </w:r>
          </w:p>
          <w:p w:rsidR="00CA4252" w:rsidP="00AF10D4" w:rsidRDefault="00F1741C" w14:paraId="1F0BAFD9" w14:textId="407A8FB9">
            <w:pPr>
              <w:pStyle w:val="ListParagraph"/>
              <w:numPr>
                <w:ilvl w:val="0"/>
                <w:numId w:val="21"/>
              </w:numPr>
              <w:spacing w:after="120"/>
              <w:ind w:left="357" w:hanging="357"/>
              <w:contextualSpacing w:val="0"/>
            </w:pPr>
            <w:r w:rsidRPr="00915066">
              <w:rPr>
                <w:b/>
              </w:rPr>
              <w:t xml:space="preserve">Whole </w:t>
            </w:r>
            <w:r w:rsidR="00EF3FCB">
              <w:rPr>
                <w:b/>
              </w:rPr>
              <w:t xml:space="preserve">improvement </w:t>
            </w:r>
            <w:r w:rsidRPr="00915066">
              <w:rPr>
                <w:b/>
              </w:rPr>
              <w:t>pathway framework:</w:t>
            </w:r>
            <w:r>
              <w:t xml:space="preserve"> </w:t>
            </w:r>
            <w:r w:rsidRPr="00F1741C" w:rsidR="008B10B3">
              <w:t>ICSs</w:t>
            </w:r>
            <w:r w:rsidR="00095306">
              <w:t xml:space="preserve"> </w:t>
            </w:r>
            <w:r>
              <w:t>should</w:t>
            </w:r>
            <w:r w:rsidR="00095306">
              <w:t xml:space="preserve"> consider developing </w:t>
            </w:r>
            <w:r w:rsidRPr="00F1741C" w:rsidR="00095306">
              <w:t xml:space="preserve">a </w:t>
            </w:r>
            <w:r w:rsidR="008F7FB0">
              <w:t xml:space="preserve">defined process / </w:t>
            </w:r>
            <w:r w:rsidRPr="00F1741C" w:rsidR="00095306">
              <w:t>f</w:t>
            </w:r>
            <w:r w:rsidRPr="00F1741C" w:rsidR="0005086E">
              <w:t xml:space="preserve">ramework for </w:t>
            </w:r>
            <w:r w:rsidR="008F7FB0">
              <w:t>addressing</w:t>
            </w:r>
            <w:r w:rsidRPr="00F1741C" w:rsidR="0005086E">
              <w:t xml:space="preserve"> health inequalities</w:t>
            </w:r>
            <w:r w:rsidR="008F7FB0">
              <w:t xml:space="preserve">. From the mechanisms they will use to </w:t>
            </w:r>
            <w:r w:rsidRPr="00F1741C" w:rsidR="0005086E">
              <w:t>identify</w:t>
            </w:r>
            <w:r w:rsidR="008F7FB0">
              <w:t xml:space="preserve"> </w:t>
            </w:r>
            <w:r w:rsidRPr="00F1741C" w:rsidR="0005086E">
              <w:t>health inequalities</w:t>
            </w:r>
            <w:r w:rsidR="008F7FB0">
              <w:t>, moving into how</w:t>
            </w:r>
            <w:r w:rsidR="0005086E">
              <w:t xml:space="preserve"> </w:t>
            </w:r>
            <w:r w:rsidR="00095306">
              <w:t xml:space="preserve">that </w:t>
            </w:r>
            <w:r w:rsidR="008F7FB0">
              <w:t>information is used to develop and implement</w:t>
            </w:r>
            <w:r w:rsidR="00095306">
              <w:t xml:space="preserve"> </w:t>
            </w:r>
            <w:r w:rsidR="00217EE1">
              <w:t>method</w:t>
            </w:r>
            <w:r w:rsidR="00095306">
              <w:t>s or approaches</w:t>
            </w:r>
            <w:r w:rsidR="008F7FB0">
              <w:t xml:space="preserve"> alongside how these </w:t>
            </w:r>
            <w:r w:rsidR="00217EE1">
              <w:t>method</w:t>
            </w:r>
            <w:r w:rsidR="008F7FB0">
              <w:t xml:space="preserve">s / approaches will be monitored / evaluated to ensure that </w:t>
            </w:r>
            <w:r w:rsidR="00182E81">
              <w:t>they</w:t>
            </w:r>
            <w:r w:rsidR="008F7FB0">
              <w:t xml:space="preserve"> are delivering on their intended outcomes</w:t>
            </w:r>
            <w:r w:rsidR="00AB742D">
              <w:t>.</w:t>
            </w:r>
          </w:p>
        </w:tc>
      </w:tr>
      <w:tr w:rsidR="00CA4252" w:rsidTr="00672BFB" w14:paraId="47ADF50C" w14:textId="77777777">
        <w:tc>
          <w:tcPr>
            <w:tcW w:w="1497" w:type="dxa"/>
          </w:tcPr>
          <w:p w:rsidRPr="00915066" w:rsidR="00CA4252" w:rsidP="00E358BA" w:rsidRDefault="00CA4252" w14:paraId="41D0CBE6" w14:textId="31CE595A">
            <w:pPr>
              <w:spacing w:after="120"/>
              <w:rPr>
                <w:rFonts w:eastAsia="Times New Roman" w:cs="Arial"/>
                <w:b/>
                <w:kern w:val="28"/>
                <w:szCs w:val="20"/>
              </w:rPr>
            </w:pPr>
            <w:r w:rsidRPr="00915066">
              <w:rPr>
                <w:rFonts w:eastAsia="Times New Roman" w:cs="Arial"/>
                <w:b/>
                <w:kern w:val="28"/>
                <w:szCs w:val="20"/>
              </w:rPr>
              <w:t>Integration</w:t>
            </w:r>
          </w:p>
        </w:tc>
        <w:tc>
          <w:tcPr>
            <w:tcW w:w="8130" w:type="dxa"/>
          </w:tcPr>
          <w:p w:rsidRPr="00915066" w:rsidR="00100C47" w:rsidP="00AF10D4" w:rsidRDefault="00100C47" w14:paraId="79AD997F" w14:textId="6608BBC3">
            <w:pPr>
              <w:pStyle w:val="ListParagraph"/>
              <w:numPr>
                <w:ilvl w:val="0"/>
                <w:numId w:val="21"/>
              </w:numPr>
              <w:spacing w:after="120"/>
              <w:ind w:left="360"/>
              <w:contextualSpacing w:val="0"/>
              <w:rPr>
                <w:b/>
              </w:rPr>
            </w:pPr>
            <w:r w:rsidRPr="00915066">
              <w:rPr>
                <w:b/>
              </w:rPr>
              <w:t xml:space="preserve">Length and </w:t>
            </w:r>
            <w:r w:rsidRPr="00915066" w:rsidDel="00E80280">
              <w:rPr>
                <w:b/>
              </w:rPr>
              <w:t xml:space="preserve">amount </w:t>
            </w:r>
            <w:r w:rsidRPr="00915066" w:rsidR="00E80280">
              <w:rPr>
                <w:b/>
              </w:rPr>
              <w:t>of</w:t>
            </w:r>
            <w:r w:rsidRPr="00915066">
              <w:rPr>
                <w:b/>
              </w:rPr>
              <w:t xml:space="preserve"> </w:t>
            </w:r>
            <w:r w:rsidRPr="00915066" w:rsidR="00882024">
              <w:rPr>
                <w:b/>
                <w:bCs/>
              </w:rPr>
              <w:t>f</w:t>
            </w:r>
            <w:r w:rsidRPr="00915066" w:rsidR="00CA4252">
              <w:rPr>
                <w:b/>
                <w:bCs/>
              </w:rPr>
              <w:t>unding</w:t>
            </w:r>
            <w:r w:rsidR="00882024">
              <w:rPr>
                <w:b/>
                <w:bCs/>
              </w:rPr>
              <w:t xml:space="preserve">: </w:t>
            </w:r>
            <w:r w:rsidR="00882024">
              <w:t xml:space="preserve">funding is the key to sustainable </w:t>
            </w:r>
            <w:r w:rsidR="00217EE1">
              <w:t>method</w:t>
            </w:r>
            <w:r w:rsidR="00882024">
              <w:t>s</w:t>
            </w:r>
            <w:r w:rsidR="001C6794">
              <w:t xml:space="preserve">. </w:t>
            </w:r>
            <w:r w:rsidRPr="001C6794" w:rsidR="001C6794">
              <w:t>Systems</w:t>
            </w:r>
            <w:r w:rsidR="00882024">
              <w:t xml:space="preserve"> should be </w:t>
            </w:r>
            <w:r w:rsidRPr="001C6794" w:rsidR="001C6794">
              <w:t xml:space="preserve">considering their </w:t>
            </w:r>
            <w:r w:rsidR="00882024">
              <w:t xml:space="preserve">available </w:t>
            </w:r>
            <w:r w:rsidRPr="001C6794" w:rsidR="001C6794">
              <w:t>funding mechanisms</w:t>
            </w:r>
            <w:r w:rsidRPr="001C6794" w:rsidR="00882024">
              <w:t xml:space="preserve"> to develop </w:t>
            </w:r>
            <w:r w:rsidRPr="001C6794" w:rsidR="001C6794">
              <w:t xml:space="preserve">sustainable </w:t>
            </w:r>
            <w:r w:rsidRPr="001C6794" w:rsidR="00882024">
              <w:t>financial plans</w:t>
            </w:r>
            <w:r w:rsidRPr="001C6794" w:rsidR="001C6794">
              <w:t xml:space="preserve"> in order to address health inequalities (rather than</w:t>
            </w:r>
            <w:r w:rsidR="001C6794">
              <w:t xml:space="preserve"> relying on short-term funding alone). T</w:t>
            </w:r>
            <w:r w:rsidR="000606C7">
              <w:t>his should remove the need for resource rivalry between participating organisations and promote collaboration</w:t>
            </w:r>
            <w:r w:rsidR="00B86CF5">
              <w:t xml:space="preserve">. </w:t>
            </w:r>
          </w:p>
          <w:p w:rsidRPr="00915066" w:rsidR="00CA4252" w:rsidP="00AF10D4" w:rsidRDefault="00CA4252" w14:paraId="7E80E851" w14:textId="41F0316E">
            <w:pPr>
              <w:pStyle w:val="ListParagraph"/>
              <w:numPr>
                <w:ilvl w:val="0"/>
                <w:numId w:val="21"/>
              </w:numPr>
              <w:spacing w:after="120"/>
              <w:ind w:left="360"/>
              <w:contextualSpacing w:val="0"/>
              <w:rPr>
                <w:b/>
              </w:rPr>
            </w:pPr>
            <w:r w:rsidRPr="00915066">
              <w:rPr>
                <w:b/>
              </w:rPr>
              <w:t xml:space="preserve">Partnership </w:t>
            </w:r>
            <w:r w:rsidRPr="00915066" w:rsidR="00337DF7">
              <w:rPr>
                <w:b/>
              </w:rPr>
              <w:t xml:space="preserve">/ joint </w:t>
            </w:r>
            <w:r w:rsidRPr="00915066">
              <w:rPr>
                <w:b/>
              </w:rPr>
              <w:t>working</w:t>
            </w:r>
            <w:r w:rsidRPr="001C6794" w:rsidR="001C6794">
              <w:rPr>
                <w:b/>
              </w:rPr>
              <w:t xml:space="preserve">: </w:t>
            </w:r>
            <w:r w:rsidRPr="001C6794" w:rsidR="001C6794">
              <w:rPr>
                <w:bCs/>
              </w:rPr>
              <w:t xml:space="preserve">the capacity and capability of ICSs to deliver </w:t>
            </w:r>
            <w:r w:rsidR="00217EE1">
              <w:rPr>
                <w:bCs/>
              </w:rPr>
              <w:t>method</w:t>
            </w:r>
            <w:r w:rsidRPr="001C6794" w:rsidR="001C6794">
              <w:rPr>
                <w:bCs/>
              </w:rPr>
              <w:t>s through partnership working (both with statutory organisations within the ICS and community, voluntary and anchor organisations). The ability to adopt joint working across the system will reduce the risk of duplication.</w:t>
            </w:r>
          </w:p>
          <w:p w:rsidRPr="00915066" w:rsidR="00CA4252" w:rsidP="00AF10D4" w:rsidRDefault="00CA4252" w14:paraId="2C01DCB5" w14:textId="3591EF6F">
            <w:pPr>
              <w:pStyle w:val="ListParagraph"/>
              <w:numPr>
                <w:ilvl w:val="0"/>
                <w:numId w:val="21"/>
              </w:numPr>
              <w:spacing w:after="120"/>
              <w:ind w:left="360"/>
              <w:contextualSpacing w:val="0"/>
              <w:rPr>
                <w:b/>
              </w:rPr>
            </w:pPr>
            <w:r w:rsidRPr="00915066">
              <w:rPr>
                <w:b/>
              </w:rPr>
              <w:t xml:space="preserve">Commissioning arrangements </w:t>
            </w:r>
            <w:r w:rsidRPr="00576A68" w:rsidR="001C6794">
              <w:rPr>
                <w:b/>
              </w:rPr>
              <w:t xml:space="preserve">/ Contracting: </w:t>
            </w:r>
            <w:r w:rsidRPr="00576A68" w:rsidR="001C6794">
              <w:rPr>
                <w:bCs/>
              </w:rPr>
              <w:t xml:space="preserve">Alongside joint working, the ability </w:t>
            </w:r>
            <w:r w:rsidRPr="00576A68" w:rsidR="00576A68">
              <w:rPr>
                <w:bCs/>
              </w:rPr>
              <w:t xml:space="preserve">to conduct commissioning processes and set-up contracting arrangements on a system-basis will reduce duplication of effort and allow for </w:t>
            </w:r>
            <w:r w:rsidR="00217EE1">
              <w:rPr>
                <w:bCs/>
              </w:rPr>
              <w:t>method</w:t>
            </w:r>
            <w:r w:rsidRPr="00576A68" w:rsidR="00576A68">
              <w:rPr>
                <w:bCs/>
              </w:rPr>
              <w:t>s to be commissioned / contracted on an intervention basis, rather than an organisational basis. This will promote the focus on improving health outcomes.</w:t>
            </w:r>
          </w:p>
          <w:p w:rsidR="00CA4252" w:rsidP="00AF10D4" w:rsidRDefault="00D60D4C" w14:paraId="408EDA46" w14:textId="539294F6">
            <w:pPr>
              <w:pStyle w:val="ListParagraph"/>
              <w:numPr>
                <w:ilvl w:val="0"/>
                <w:numId w:val="21"/>
              </w:numPr>
              <w:spacing w:after="120"/>
              <w:ind w:left="360"/>
              <w:contextualSpacing w:val="0"/>
            </w:pPr>
            <w:r w:rsidRPr="00915066">
              <w:rPr>
                <w:b/>
                <w:bCs/>
              </w:rPr>
              <w:t>W</w:t>
            </w:r>
            <w:r w:rsidRPr="00915066" w:rsidR="00CA4252">
              <w:rPr>
                <w:b/>
                <w:bCs/>
              </w:rPr>
              <w:t>ider</w:t>
            </w:r>
            <w:r w:rsidRPr="00915066" w:rsidR="00CA4252">
              <w:rPr>
                <w:b/>
              </w:rPr>
              <w:t xml:space="preserve"> determinants of health</w:t>
            </w:r>
            <w:r w:rsidRPr="00915066">
              <w:rPr>
                <w:b/>
              </w:rPr>
              <w:t>:</w:t>
            </w:r>
            <w:r>
              <w:t xml:space="preserve"> consideration of wider determinants, such as </w:t>
            </w:r>
            <w:r w:rsidR="00CA4252">
              <w:t>housing</w:t>
            </w:r>
            <w:r>
              <w:t xml:space="preserve"> and</w:t>
            </w:r>
            <w:r w:rsidR="00CA4252">
              <w:t xml:space="preserve"> urban regeneration</w:t>
            </w:r>
            <w:r w:rsidR="00306926">
              <w:t>. This will</w:t>
            </w:r>
            <w:r w:rsidRPr="000F7A4D" w:rsidR="00306926">
              <w:t xml:space="preserve"> </w:t>
            </w:r>
            <w:r w:rsidR="00306926">
              <w:t xml:space="preserve">affect the requirements of </w:t>
            </w:r>
            <w:r w:rsidRPr="000F7A4D" w:rsidR="00306926">
              <w:t xml:space="preserve">non-health and care partners on wider determinants </w:t>
            </w:r>
            <w:r w:rsidR="00306926">
              <w:t xml:space="preserve">to </w:t>
            </w:r>
            <w:r w:rsidRPr="000F7A4D" w:rsidR="00306926">
              <w:t>address health inequalities.</w:t>
            </w:r>
          </w:p>
          <w:p w:rsidR="00337DF7" w:rsidP="00AF10D4" w:rsidRDefault="001F04AC" w14:paraId="5C0AA6F1" w14:textId="545EA606">
            <w:pPr>
              <w:pStyle w:val="ListParagraph"/>
              <w:numPr>
                <w:ilvl w:val="0"/>
                <w:numId w:val="21"/>
              </w:numPr>
              <w:spacing w:after="120"/>
              <w:ind w:left="360"/>
              <w:contextualSpacing w:val="0"/>
            </w:pPr>
            <w:r w:rsidRPr="00915066">
              <w:rPr>
                <w:b/>
                <w:bCs/>
              </w:rPr>
              <w:t>C</w:t>
            </w:r>
            <w:r w:rsidRPr="00915066" w:rsidR="00337DF7">
              <w:rPr>
                <w:b/>
                <w:bCs/>
              </w:rPr>
              <w:t>ommunity</w:t>
            </w:r>
            <w:r w:rsidRPr="00915066" w:rsidR="00337DF7">
              <w:rPr>
                <w:b/>
              </w:rPr>
              <w:t xml:space="preserve"> assets</w:t>
            </w:r>
            <w:r w:rsidRPr="00915066">
              <w:rPr>
                <w:b/>
              </w:rPr>
              <w:t>:</w:t>
            </w:r>
            <w:r>
              <w:t xml:space="preserve"> use of community assets</w:t>
            </w:r>
            <w:r w:rsidR="00B86CF5">
              <w:t xml:space="preserve"> (</w:t>
            </w:r>
            <w:r w:rsidR="00672BFB">
              <w:t>ie</w:t>
            </w:r>
            <w:r w:rsidR="00B86CF5">
              <w:t xml:space="preserve"> community member</w:t>
            </w:r>
            <w:r w:rsidR="004829A0">
              <w:t>s</w:t>
            </w:r>
            <w:r w:rsidR="00B86CF5">
              <w:t xml:space="preserve"> and local organisations)</w:t>
            </w:r>
            <w:r>
              <w:t xml:space="preserve"> can help </w:t>
            </w:r>
            <w:r w:rsidR="00B86CF5">
              <w:t xml:space="preserve">not only </w:t>
            </w:r>
            <w:r>
              <w:t xml:space="preserve">to better understand the cultural, social and linguistic needs of the communities but also </w:t>
            </w:r>
            <w:r w:rsidR="00B86CF5">
              <w:t>build</w:t>
            </w:r>
            <w:r>
              <w:t xml:space="preserve"> sustained</w:t>
            </w:r>
            <w:r w:rsidR="00AB742D">
              <w:t xml:space="preserve"> </w:t>
            </w:r>
            <w:r>
              <w:t>and trusting relationships between services and communities.</w:t>
            </w:r>
          </w:p>
          <w:p w:rsidR="00337DF7" w:rsidP="00AF10D4" w:rsidRDefault="001F04AC" w14:paraId="022B06BB" w14:textId="1F75DE0E">
            <w:pPr>
              <w:pStyle w:val="ListParagraph"/>
              <w:numPr>
                <w:ilvl w:val="0"/>
                <w:numId w:val="21"/>
              </w:numPr>
              <w:spacing w:after="120"/>
              <w:ind w:left="360"/>
              <w:contextualSpacing w:val="0"/>
            </w:pPr>
            <w:r w:rsidRPr="00915066">
              <w:rPr>
                <w:b/>
              </w:rPr>
              <w:t>Population profile:</w:t>
            </w:r>
            <w:r>
              <w:t xml:space="preserve"> using mutually exclusive areas to identify a profile of a population presents issues for an urban area where there tend to be several commissioning and provider organisations. In addition, some measures (</w:t>
            </w:r>
            <w:r w:rsidR="00672BFB">
              <w:t>eg</w:t>
            </w:r>
            <w:r>
              <w:t xml:space="preserve"> residential mobility) present a challenge for ICSs as they can potentially alter the health profile of the area.</w:t>
            </w:r>
            <w:r w:rsidRPr="006479B0">
              <w:t xml:space="preserve"> of the area.</w:t>
            </w:r>
          </w:p>
        </w:tc>
      </w:tr>
      <w:tr w:rsidR="00CA4252" w:rsidTr="00672BFB" w14:paraId="1C9B4601" w14:textId="77777777">
        <w:tc>
          <w:tcPr>
            <w:tcW w:w="1497" w:type="dxa"/>
          </w:tcPr>
          <w:p w:rsidRPr="00576A68" w:rsidR="00CA4252" w:rsidP="00E358BA" w:rsidRDefault="00CA4252" w14:paraId="779EA147" w14:textId="022BD045">
            <w:pPr>
              <w:spacing w:after="120"/>
              <w:rPr>
                <w:b/>
              </w:rPr>
            </w:pPr>
            <w:r w:rsidRPr="00576A68">
              <w:rPr>
                <w:rFonts w:eastAsia="Times New Roman" w:cs="Arial"/>
                <w:b/>
                <w:kern w:val="28"/>
                <w:szCs w:val="20"/>
              </w:rPr>
              <w:t>Quality &amp; Safety</w:t>
            </w:r>
          </w:p>
        </w:tc>
        <w:tc>
          <w:tcPr>
            <w:tcW w:w="8130" w:type="dxa"/>
          </w:tcPr>
          <w:p w:rsidR="009E7F47" w:rsidP="00AF10D4" w:rsidRDefault="00CA4252" w14:paraId="536ED063" w14:textId="76DA79D4">
            <w:pPr>
              <w:pStyle w:val="ListParagraph"/>
              <w:numPr>
                <w:ilvl w:val="0"/>
                <w:numId w:val="21"/>
              </w:numPr>
              <w:spacing w:after="120" w:line="240" w:lineRule="auto"/>
              <w:ind w:left="360"/>
              <w:contextualSpacing w:val="0"/>
            </w:pPr>
            <w:r w:rsidRPr="00576A68">
              <w:rPr>
                <w:b/>
              </w:rPr>
              <w:t>I</w:t>
            </w:r>
            <w:r w:rsidRPr="00576A68" w:rsidR="001441CE">
              <w:rPr>
                <w:b/>
              </w:rPr>
              <w:t xml:space="preserve">nformation </w:t>
            </w:r>
            <w:r w:rsidRPr="00576A68" w:rsidR="001441CE">
              <w:rPr>
                <w:b/>
                <w:bCs/>
              </w:rPr>
              <w:t>governance</w:t>
            </w:r>
            <w:r w:rsidRPr="00576A68">
              <w:rPr>
                <w:b/>
                <w:bCs/>
              </w:rPr>
              <w:t xml:space="preserve"> </w:t>
            </w:r>
            <w:r w:rsidRPr="00576A68" w:rsidR="00FF6258">
              <w:rPr>
                <w:b/>
              </w:rPr>
              <w:t>&amp; d</w:t>
            </w:r>
            <w:r w:rsidRPr="00576A68">
              <w:rPr>
                <w:b/>
              </w:rPr>
              <w:t>ata sharing</w:t>
            </w:r>
            <w:r w:rsidRPr="00576A68" w:rsidR="00FF6258">
              <w:rPr>
                <w:b/>
              </w:rPr>
              <w:t>:</w:t>
            </w:r>
            <w:r w:rsidR="00FF6258">
              <w:t xml:space="preserve"> collection of quality patient data on a local level should support identification of health inequalities; to support linkage of datasets granular data is required</w:t>
            </w:r>
            <w:r w:rsidR="00AB742D">
              <w:t>.</w:t>
            </w:r>
          </w:p>
          <w:p w:rsidRPr="00576A68" w:rsidR="00576A68" w:rsidP="00AF10D4" w:rsidRDefault="00576A68" w14:paraId="30577466" w14:textId="6D267016">
            <w:pPr>
              <w:pStyle w:val="ListParagraph"/>
              <w:numPr>
                <w:ilvl w:val="0"/>
                <w:numId w:val="21"/>
              </w:numPr>
              <w:spacing w:after="120" w:line="240" w:lineRule="auto"/>
              <w:ind w:left="360"/>
              <w:contextualSpacing w:val="0"/>
            </w:pPr>
            <w:r w:rsidRPr="00576A68">
              <w:rPr>
                <w:b/>
                <w:bCs/>
              </w:rPr>
              <w:t xml:space="preserve">Use of data and data quality: </w:t>
            </w:r>
            <w:r w:rsidRPr="00576A68">
              <w:t xml:space="preserve">consideration of how systems are collecting and using data throughout the identification of health inequalities and the monitoring of </w:t>
            </w:r>
            <w:r w:rsidR="00217EE1">
              <w:t>method</w:t>
            </w:r>
            <w:r w:rsidRPr="00576A68">
              <w:t xml:space="preserve">s / approaches to ensure that they are delivering on their intended outcomes. Data quality needs to meet a minimum standard in order for data analysis to provide accurate intelligence. </w:t>
            </w:r>
          </w:p>
          <w:p w:rsidRPr="009E7F47" w:rsidR="00847B1B" w:rsidP="00AF10D4" w:rsidRDefault="000F5BA3" w14:paraId="4EBE3CE3" w14:textId="0773074E">
            <w:pPr>
              <w:pStyle w:val="ListParagraph"/>
              <w:numPr>
                <w:ilvl w:val="0"/>
                <w:numId w:val="21"/>
              </w:numPr>
              <w:spacing w:after="120" w:line="240" w:lineRule="auto"/>
              <w:ind w:left="360"/>
              <w:contextualSpacing w:val="0"/>
            </w:pPr>
            <w:r w:rsidRPr="67095979">
              <w:rPr>
                <w:b/>
                <w:bCs/>
              </w:rPr>
              <w:t>Co-production of services</w:t>
            </w:r>
            <w:r w:rsidRPr="67095979" w:rsidR="009E7F47">
              <w:rPr>
                <w:b/>
                <w:bCs/>
              </w:rPr>
              <w:t xml:space="preserve">: </w:t>
            </w:r>
            <w:r w:rsidR="009E7F47">
              <w:t xml:space="preserve">involvement of </w:t>
            </w:r>
            <w:r w:rsidR="00847B1B">
              <w:t xml:space="preserve">communities </w:t>
            </w:r>
            <w:r w:rsidR="009E7F47">
              <w:t xml:space="preserve">in co-production </w:t>
            </w:r>
            <w:r w:rsidR="00847B1B">
              <w:t xml:space="preserve">alongside ongoing engagement </w:t>
            </w:r>
            <w:r w:rsidR="009E7F47">
              <w:t xml:space="preserve">will </w:t>
            </w:r>
            <w:r w:rsidR="00CC4A72">
              <w:t xml:space="preserve">support </w:t>
            </w:r>
            <w:r w:rsidR="009E7F47">
              <w:t>continuous</w:t>
            </w:r>
            <w:r w:rsidR="00847B1B">
              <w:t xml:space="preserve"> improve</w:t>
            </w:r>
            <w:r w:rsidR="00CC4A72">
              <w:t>ment in</w:t>
            </w:r>
            <w:r w:rsidR="00847B1B">
              <w:t xml:space="preserve"> the delivery of an intervention</w:t>
            </w:r>
            <w:r w:rsidR="00217EE1">
              <w:t xml:space="preserve"> method</w:t>
            </w:r>
            <w:r w:rsidR="009E7F47">
              <w:t xml:space="preserve"> and ensure its relevance to communities targeted</w:t>
            </w:r>
            <w:r w:rsidR="00AB742D">
              <w:t>.</w:t>
            </w:r>
          </w:p>
          <w:p w:rsidR="00CA4252" w:rsidP="00AF10D4" w:rsidRDefault="000F5BA3" w14:paraId="3E7472F1" w14:textId="481AE4D8">
            <w:pPr>
              <w:pStyle w:val="ListParagraph"/>
              <w:numPr>
                <w:ilvl w:val="0"/>
                <w:numId w:val="21"/>
              </w:numPr>
              <w:spacing w:after="120"/>
              <w:ind w:left="360"/>
              <w:contextualSpacing w:val="0"/>
            </w:pPr>
            <w:r w:rsidRPr="67095979">
              <w:rPr>
                <w:b/>
                <w:bCs/>
              </w:rPr>
              <w:t>E</w:t>
            </w:r>
            <w:r w:rsidRPr="67095979" w:rsidR="00CA4252">
              <w:rPr>
                <w:b/>
                <w:bCs/>
              </w:rPr>
              <w:t>ngagement with communities</w:t>
            </w:r>
            <w:r w:rsidRPr="67095979">
              <w:rPr>
                <w:b/>
                <w:bCs/>
              </w:rPr>
              <w:t>:</w:t>
            </w:r>
            <w:r>
              <w:t xml:space="preserve"> use of engagement approaches that go beyond traditional approaches (</w:t>
            </w:r>
            <w:r w:rsidRPr="00576A68">
              <w:t xml:space="preserve">such as </w:t>
            </w:r>
            <w:r w:rsidRPr="00576A68" w:rsidR="001C6794">
              <w:t>feedback surveys</w:t>
            </w:r>
            <w:r w:rsidRPr="00576A68">
              <w:t>)</w:t>
            </w:r>
            <w:r w:rsidRPr="00576A68" w:rsidR="00192F00">
              <w:t>;</w:t>
            </w:r>
            <w:r w:rsidDel="000F5BA3">
              <w:t xml:space="preserve"> </w:t>
            </w:r>
            <w:r>
              <w:t>exploration of various channels for communication with different population groups (</w:t>
            </w:r>
            <w:r w:rsidR="00672BFB">
              <w:t>ie</w:t>
            </w:r>
            <w:r>
              <w:t xml:space="preserve"> online might not be suitable for older people, traveller communities, etc.)</w:t>
            </w:r>
            <w:r w:rsidR="00192F00">
              <w:t xml:space="preserve"> will help ensuring accessibility of services</w:t>
            </w:r>
            <w:r w:rsidR="00AB742D">
              <w:t>.</w:t>
            </w:r>
            <w:r w:rsidR="00192F00">
              <w:t xml:space="preserve"> </w:t>
            </w:r>
          </w:p>
          <w:p w:rsidR="000F5BA3" w:rsidP="00AF10D4" w:rsidRDefault="000F5BA3" w14:paraId="51C5E72E" w14:textId="6C022236">
            <w:pPr>
              <w:pStyle w:val="ListParagraph"/>
              <w:numPr>
                <w:ilvl w:val="0"/>
                <w:numId w:val="21"/>
              </w:numPr>
              <w:spacing w:after="120"/>
              <w:ind w:left="360"/>
              <w:contextualSpacing w:val="0"/>
            </w:pPr>
            <w:r w:rsidRPr="67095979">
              <w:rPr>
                <w:b/>
                <w:bCs/>
              </w:rPr>
              <w:t>Feedback from communities:</w:t>
            </w:r>
            <w:r>
              <w:t xml:space="preserve"> getting feedback on engagement and approaches is paramount to success of intervention</w:t>
            </w:r>
            <w:r w:rsidR="00217EE1">
              <w:t xml:space="preserve"> method</w:t>
            </w:r>
            <w:r>
              <w:t>s; understanding what works well and less well can enable services to target populations in ways that suit them and ensure maximised engagement and buy-in</w:t>
            </w:r>
            <w:r w:rsidR="00AB742D">
              <w:t>.</w:t>
            </w:r>
          </w:p>
          <w:p w:rsidR="00337DF7" w:rsidP="00AF10D4" w:rsidRDefault="000F5BA3" w14:paraId="1B9E226C" w14:textId="200CE1E4">
            <w:pPr>
              <w:pStyle w:val="ListParagraph"/>
              <w:numPr>
                <w:ilvl w:val="0"/>
                <w:numId w:val="21"/>
              </w:numPr>
              <w:spacing w:after="120"/>
              <w:ind w:left="360"/>
              <w:contextualSpacing w:val="0"/>
            </w:pPr>
            <w:r w:rsidRPr="67095979">
              <w:rPr>
                <w:b/>
                <w:bCs/>
              </w:rPr>
              <w:t>Engagement with</w:t>
            </w:r>
            <w:r w:rsidRPr="67095979" w:rsidR="007F3273">
              <w:rPr>
                <w:b/>
                <w:bCs/>
              </w:rPr>
              <w:t xml:space="preserve"> populations</w:t>
            </w:r>
            <w:r w:rsidR="00BC351B">
              <w:rPr>
                <w:b/>
                <w:bCs/>
              </w:rPr>
              <w:t xml:space="preserve"> </w:t>
            </w:r>
            <w:r w:rsidRPr="000F7A4D" w:rsidR="00BC351B">
              <w:rPr>
                <w:b/>
                <w:bCs/>
              </w:rPr>
              <w:t>at risk of inequality</w:t>
            </w:r>
            <w:r w:rsidRPr="00BC351B">
              <w:rPr>
                <w:b/>
                <w:bCs/>
              </w:rPr>
              <w:t>:</w:t>
            </w:r>
            <w:r w:rsidRPr="000F7A4D">
              <w:rPr>
                <w:b/>
                <w:bCs/>
              </w:rPr>
              <w:t xml:space="preserve"> </w:t>
            </w:r>
            <w:r>
              <w:t xml:space="preserve">processes are required </w:t>
            </w:r>
            <w:r w:rsidR="003875C4">
              <w:t>to engage populations</w:t>
            </w:r>
            <w:r w:rsidR="00BC351B">
              <w:t xml:space="preserve"> </w:t>
            </w:r>
            <w:r w:rsidRPr="00BC351B" w:rsidR="00BC351B">
              <w:t>at risk of inequality</w:t>
            </w:r>
            <w:r w:rsidR="003875C4">
              <w:t xml:space="preserve"> in order to gain trust and avoid deterring them from accessing the services; options include the use of non-statutory expert partner organisations or trained members of community with similar lived experiences</w:t>
            </w:r>
            <w:r w:rsidR="00AB742D">
              <w:t>.</w:t>
            </w:r>
          </w:p>
        </w:tc>
      </w:tr>
    </w:tbl>
    <w:p w:rsidR="00CA4252" w:rsidP="00817791" w:rsidRDefault="00CA4252" w14:paraId="2836B667" w14:textId="40EB9526">
      <w:pPr>
        <w:sectPr w:rsidR="00CA4252" w:rsidSect="00EE26DE">
          <w:headerReference w:type="even" r:id="rId39"/>
          <w:headerReference w:type="default" r:id="rId40"/>
          <w:footerReference w:type="even" r:id="rId41"/>
          <w:footerReference w:type="default" r:id="rId42"/>
          <w:headerReference w:type="first" r:id="rId43"/>
          <w:endnotePr>
            <w:numFmt w:val="decimal"/>
          </w:endnotePr>
          <w:pgSz w:w="11906" w:h="16838" w:orient="portrait"/>
          <w:pgMar w:top="1985" w:right="1418" w:bottom="1134" w:left="851" w:header="624" w:footer="510" w:gutter="0"/>
          <w:cols w:space="708"/>
          <w:docGrid w:linePitch="360"/>
        </w:sectPr>
      </w:pPr>
    </w:p>
    <w:p w:rsidR="000E28B9" w:rsidP="0076419C" w:rsidRDefault="00EB4041" w14:paraId="5A8C2859" w14:textId="1A954027">
      <w:pPr>
        <w:pStyle w:val="Heading1Num"/>
      </w:pPr>
      <w:bookmarkStart w:name="_Toc129957327" w:id="131"/>
      <w:bookmarkStart w:name="_Toc129861346" w:id="132"/>
      <w:bookmarkStart w:name="_Toc129865452" w:id="133"/>
      <w:bookmarkStart w:name="_Toc129865500" w:id="134"/>
      <w:bookmarkStart w:name="_Toc129953108" w:id="135"/>
      <w:bookmarkStart w:name="_Toc129953139" w:id="136"/>
      <w:bookmarkStart w:name="_Toc129953218" w:id="137"/>
      <w:bookmarkStart w:name="_Toc129953590" w:id="138"/>
      <w:bookmarkEnd w:id="131"/>
      <w:r>
        <w:t xml:space="preserve"> </w:t>
      </w:r>
      <w:bookmarkStart w:name="_Toc146539771" w:id="139"/>
      <w:r w:rsidR="00172C4E">
        <w:t>C</w:t>
      </w:r>
      <w:r w:rsidR="004A26B4">
        <w:t>onclusions and c</w:t>
      </w:r>
      <w:r w:rsidR="00172C4E">
        <w:t>onsiderations for the future</w:t>
      </w:r>
      <w:bookmarkEnd w:id="132"/>
      <w:bookmarkEnd w:id="133"/>
      <w:bookmarkEnd w:id="134"/>
      <w:bookmarkEnd w:id="135"/>
      <w:bookmarkEnd w:id="136"/>
      <w:bookmarkEnd w:id="137"/>
      <w:bookmarkEnd w:id="138"/>
      <w:bookmarkEnd w:id="139"/>
    </w:p>
    <w:p w:rsidRPr="00576A68" w:rsidR="00C2509F" w:rsidP="000864B0" w:rsidRDefault="001A02C9" w14:paraId="5E1BA4E5" w14:textId="457C32E2">
      <w:pPr>
        <w:pStyle w:val="Heading2Num"/>
        <w:tabs>
          <w:tab w:val="clear" w:pos="2920"/>
        </w:tabs>
        <w:ind w:left="0" w:firstLine="0"/>
      </w:pPr>
      <w:bookmarkStart w:name="_Toc129957329" w:id="140"/>
      <w:bookmarkStart w:name="_Toc131159243" w:id="141"/>
      <w:bookmarkStart w:name="_Toc131159913" w:id="142"/>
      <w:bookmarkStart w:name="_Toc139619175" w:id="143"/>
      <w:bookmarkEnd w:id="140"/>
      <w:bookmarkEnd w:id="141"/>
      <w:bookmarkEnd w:id="142"/>
      <w:r>
        <w:t>Conclusions</w:t>
      </w:r>
      <w:bookmarkEnd w:id="143"/>
    </w:p>
    <w:p w:rsidR="00CD15D5" w:rsidP="00FF2E4C" w:rsidRDefault="0056151C" w14:paraId="78744027" w14:textId="77777777">
      <w:pPr>
        <w:rPr>
          <w:b/>
          <w:bCs/>
        </w:rPr>
      </w:pPr>
      <w:r>
        <w:rPr>
          <w:b/>
          <w:bCs/>
        </w:rPr>
        <w:t xml:space="preserve">Theme 1: </w:t>
      </w:r>
      <w:r w:rsidRPr="00FF2E4C" w:rsidR="00FF2E4C">
        <w:rPr>
          <w:b/>
          <w:bCs/>
        </w:rPr>
        <w:t>What are effective ways of identifying local health inequalities or potential health inequalities?</w:t>
      </w:r>
      <w:r w:rsidR="00754D17">
        <w:rPr>
          <w:b/>
          <w:bCs/>
        </w:rPr>
        <w:t xml:space="preserve"> </w:t>
      </w:r>
    </w:p>
    <w:p w:rsidR="00CD2A86" w:rsidP="00CD2A86" w:rsidRDefault="00CD2A86" w14:paraId="2BE05143" w14:textId="5BC76369">
      <w:r>
        <w:t xml:space="preserve">Given the complexities of local areas and the specific needs of each, unsurprisingly, a range of different methods have been shown to identify health inequalities. These can be segmented into three overarching categories: (i) </w:t>
      </w:r>
      <w:r w:rsidRPr="00CD2A86">
        <w:t>Population statistics, (ii) Combining health data with wider determinants and (iii) using experiential or qualitative data to understand experiences</w:t>
      </w:r>
      <w:r>
        <w:t xml:space="preserve">. </w:t>
      </w:r>
      <w:r w:rsidRPr="00CD15D5">
        <w:rPr>
          <w:szCs w:val="20"/>
        </w:rPr>
        <w:t xml:space="preserve">However, no literature </w:t>
      </w:r>
      <w:r>
        <w:t xml:space="preserve">paid attention to exploring some of the tools that are already being used by systems, for example, the PHE framework, and how these could be streamlined or enhanced in their use. </w:t>
      </w:r>
    </w:p>
    <w:p w:rsidRPr="0089037E" w:rsidR="00CD2A86" w:rsidP="00CD2A86" w:rsidRDefault="00FE4CB4" w14:paraId="26E571E5" w14:textId="44216A36">
      <w:r>
        <w:t>A</w:t>
      </w:r>
      <w:r w:rsidRPr="0089037E" w:rsidR="00CD2A86">
        <w:t xml:space="preserve"> number of considerations were identified which may help to determine what methods a local area may want to use in the identification of health inequalities. These include:</w:t>
      </w:r>
    </w:p>
    <w:p w:rsidRPr="00FE4CB4" w:rsidR="00CD2A86" w:rsidP="00FE4CB4" w:rsidRDefault="00CD2A86" w14:paraId="4B4F162A" w14:textId="21156416">
      <w:pPr>
        <w:pStyle w:val="ListParagraph"/>
        <w:numPr>
          <w:ilvl w:val="0"/>
          <w:numId w:val="35"/>
        </w:numPr>
      </w:pPr>
      <w:r w:rsidRPr="00FE4CB4">
        <w:t>Have specific areas of health inequalities been identified?</w:t>
      </w:r>
      <w:r w:rsidRPr="00FE4CB4" w:rsidR="00FE4CB4">
        <w:t>;</w:t>
      </w:r>
      <w:r w:rsidRPr="00FE4CB4">
        <w:t xml:space="preserve"> </w:t>
      </w:r>
    </w:p>
    <w:p w:rsidRPr="00FE4CB4" w:rsidR="00FE4CB4" w:rsidP="000229E6" w:rsidRDefault="00FE4CB4" w14:paraId="7580908B" w14:textId="7AA87189">
      <w:pPr>
        <w:pStyle w:val="ListParagraph"/>
        <w:numPr>
          <w:ilvl w:val="0"/>
          <w:numId w:val="35"/>
        </w:numPr>
      </w:pPr>
      <w:r w:rsidRPr="00FE4CB4">
        <w:t>The use of w</w:t>
      </w:r>
      <w:r w:rsidRPr="00FE4CB4" w:rsidR="00CD2A86">
        <w:t>ider determinants of health</w:t>
      </w:r>
      <w:r w:rsidRPr="00FE4CB4">
        <w:t xml:space="preserve"> datasets; and </w:t>
      </w:r>
    </w:p>
    <w:p w:rsidRPr="00FE4CB4" w:rsidR="00CD2A86" w:rsidP="000229E6" w:rsidRDefault="00CD2A86" w14:paraId="0BBA92C7" w14:textId="0650FBCA">
      <w:pPr>
        <w:pStyle w:val="ListParagraph"/>
        <w:numPr>
          <w:ilvl w:val="0"/>
          <w:numId w:val="35"/>
        </w:numPr>
      </w:pPr>
      <w:r w:rsidRPr="00FE4CB4">
        <w:t xml:space="preserve">The availability of data </w:t>
      </w:r>
    </w:p>
    <w:p w:rsidR="00CD2A86" w:rsidP="00CD2A86" w:rsidRDefault="00CD2A86" w14:paraId="0F9D9B16" w14:textId="77777777">
      <w:r w:rsidRPr="000A671E">
        <w:t xml:space="preserve">Overall, the literature outlines a range of methods to identifying health inequalities. However, there is no “one size fits all” approach and different methods should be selected based on the specific requirements for each local area. </w:t>
      </w:r>
    </w:p>
    <w:p w:rsidR="00CD2A86" w:rsidP="00CD2A86" w:rsidRDefault="00CD2A86" w14:paraId="2C5356B6" w14:textId="150AA6E2">
      <w:r>
        <w:t>S</w:t>
      </w:r>
      <w:r w:rsidRPr="000F3C5E">
        <w:t>everal gaps in the existing literature</w:t>
      </w:r>
      <w:r>
        <w:t xml:space="preserve"> have been revealed</w:t>
      </w:r>
      <w:r w:rsidRPr="000F3C5E">
        <w:t xml:space="preserve">. </w:t>
      </w:r>
      <w:r w:rsidR="00F71846">
        <w:t>M</w:t>
      </w:r>
      <w:r w:rsidRPr="000F3C5E">
        <w:t xml:space="preserve">ost papers tend to focus on </w:t>
      </w:r>
      <w:r>
        <w:t xml:space="preserve">researching ways of </w:t>
      </w:r>
      <w:r w:rsidRPr="000F3C5E">
        <w:t xml:space="preserve">identifying inequalities </w:t>
      </w:r>
      <w:r>
        <w:t xml:space="preserve">and present limited </w:t>
      </w:r>
      <w:r w:rsidRPr="000115EF">
        <w:t xml:space="preserve">evidence to support the effectiveness of these </w:t>
      </w:r>
      <w:r>
        <w:t>methods</w:t>
      </w:r>
      <w:r w:rsidRPr="000115EF">
        <w:t xml:space="preserve">. </w:t>
      </w:r>
    </w:p>
    <w:p w:rsidR="00CD15D5" w:rsidP="00562682" w:rsidRDefault="0056151C" w14:paraId="30384718" w14:textId="0BF609FB">
      <w:pPr>
        <w:rPr>
          <w:b/>
          <w:bCs/>
        </w:rPr>
      </w:pPr>
      <w:r>
        <w:rPr>
          <w:b/>
          <w:bCs/>
        </w:rPr>
        <w:t>Theme 2:</w:t>
      </w:r>
      <w:r w:rsidR="004F5A39">
        <w:rPr>
          <w:b/>
          <w:bCs/>
        </w:rPr>
        <w:t xml:space="preserve"> </w:t>
      </w:r>
      <w:r w:rsidRPr="004F5A39" w:rsidR="004F5A39">
        <w:rPr>
          <w:b/>
          <w:bCs/>
        </w:rPr>
        <w:t xml:space="preserve">What are the evidence-based </w:t>
      </w:r>
      <w:r w:rsidR="00217EE1">
        <w:rPr>
          <w:b/>
          <w:bCs/>
        </w:rPr>
        <w:t>method</w:t>
      </w:r>
      <w:r w:rsidRPr="004F5A39" w:rsidR="004F5A39">
        <w:rPr>
          <w:b/>
          <w:bCs/>
        </w:rPr>
        <w:t>s/approaches that work to address health inequalities within a local area?</w:t>
      </w:r>
      <w:r w:rsidR="00754D17">
        <w:rPr>
          <w:b/>
          <w:bCs/>
        </w:rPr>
        <w:t xml:space="preserve"> </w:t>
      </w:r>
    </w:p>
    <w:p w:rsidRPr="00FE4CB4" w:rsidR="00F512DC" w:rsidP="00F512DC" w:rsidRDefault="00F512DC" w14:paraId="7C721362" w14:textId="77777777">
      <w:pPr>
        <w:spacing w:after="120"/>
        <w:rPr>
          <w:highlight w:val="cyan"/>
        </w:rPr>
      </w:pPr>
      <w:r w:rsidRPr="00FE4CB4">
        <w:rPr>
          <w:rFonts w:eastAsia="Calibri" w:cs="Arial"/>
          <w:kern w:val="24"/>
          <w:szCs w:val="24"/>
        </w:rPr>
        <w:t xml:space="preserve">The use of several different approaches that can be used to address health inequalities have been highlighted. The </w:t>
      </w:r>
      <w:r w:rsidRPr="00FE4CB4">
        <w:t xml:space="preserve">overarching approaches identified include: (i) </w:t>
      </w:r>
      <w:r w:rsidRPr="00FE4CB4">
        <w:rPr>
          <w:rFonts w:cs="Arial"/>
          <w:szCs w:val="24"/>
        </w:rPr>
        <w:t xml:space="preserve">Asset-based or place-based approaches, (ii) Proportionate universalism and (iii) Engagement-based approaches. </w:t>
      </w:r>
      <w:r w:rsidRPr="00FE4CB4">
        <w:rPr>
          <w:rFonts w:eastAsia="Calibri" w:cs="Arial"/>
          <w:kern w:val="24"/>
          <w:szCs w:val="24"/>
        </w:rPr>
        <w:t>A number of studies have referenced a combination of these approaches rather than using them in a standalone manner (for example, within Child Health).</w:t>
      </w:r>
      <w:r w:rsidRPr="00FE4CB4">
        <w:t xml:space="preserve"> </w:t>
      </w:r>
    </w:p>
    <w:p w:rsidRPr="00FE4CB4" w:rsidR="00F512DC" w:rsidP="00F512DC" w:rsidRDefault="00F512DC" w14:paraId="3F5E8E1D" w14:textId="16895145">
      <w:pPr>
        <w:autoSpaceDE w:val="0"/>
        <w:autoSpaceDN w:val="0"/>
        <w:adjustRightInd w:val="0"/>
        <w:spacing w:line="240" w:lineRule="auto"/>
      </w:pPr>
      <w:r w:rsidRPr="00F512DC">
        <w:t xml:space="preserve">In terms of the specific methods for addressing health inequalities, a significant proportion of the literature focussed on improving health outcomes more generally (relative to the other areas which can address health inequalities such as prevention, improving access etc.).The most popular types </w:t>
      </w:r>
      <w:r w:rsidRPr="00F512DC" w:rsidR="00917020">
        <w:t>o</w:t>
      </w:r>
      <w:r w:rsidR="00917020">
        <w:t>f</w:t>
      </w:r>
      <w:r w:rsidRPr="00F512DC" w:rsidR="00917020">
        <w:t xml:space="preserve"> </w:t>
      </w:r>
      <w:r w:rsidRPr="00F512DC">
        <w:t xml:space="preserve">methods related to improving health outcomes included: Advice, guidance and </w:t>
      </w:r>
      <w:r w:rsidRPr="00FE4CB4">
        <w:t>signposting</w:t>
      </w:r>
      <w:r>
        <w:t>;</w:t>
      </w:r>
      <w:r w:rsidRPr="00FE4CB4">
        <w:t xml:space="preserve"> Training and education programmes</w:t>
      </w:r>
      <w:r>
        <w:t>;</w:t>
      </w:r>
      <w:r w:rsidRPr="00FE4CB4">
        <w:t xml:space="preserve"> Social / Leisure and engagement programmes</w:t>
      </w:r>
      <w:r>
        <w:t>; and</w:t>
      </w:r>
      <w:r w:rsidRPr="00FE4CB4">
        <w:t xml:space="preserve"> Wider system change</w:t>
      </w:r>
      <w:r>
        <w:t>.</w:t>
      </w:r>
    </w:p>
    <w:p w:rsidR="00F512DC" w:rsidP="00F512DC" w:rsidRDefault="00F512DC" w14:paraId="297EBD96" w14:textId="77777777">
      <w:pPr>
        <w:autoSpaceDE w:val="0"/>
        <w:autoSpaceDN w:val="0"/>
        <w:adjustRightInd w:val="0"/>
        <w:spacing w:after="0" w:line="240" w:lineRule="auto"/>
      </w:pPr>
      <w:r w:rsidRPr="00E636B3">
        <w:t xml:space="preserve">Alternative services models were also a popular </w:t>
      </w:r>
      <w:r>
        <w:t>method</w:t>
      </w:r>
      <w:r w:rsidRPr="00E636B3">
        <w:t xml:space="preserve"> type for improving access to health and care services. Many of the </w:t>
      </w:r>
      <w:r>
        <w:t>method</w:t>
      </w:r>
      <w:r w:rsidRPr="00E636B3">
        <w:t>s aimed to address the barriers for access</w:t>
      </w:r>
      <w:r>
        <w:t xml:space="preserve">, such as </w:t>
      </w:r>
      <w:r w:rsidRPr="00E636B3">
        <w:t>tele-pharmacy</w:t>
      </w:r>
      <w:r>
        <w:t xml:space="preserve"> </w:t>
      </w:r>
      <w:r w:rsidRPr="00E636B3">
        <w:t>for those living in rural areas</w:t>
      </w:r>
      <w:r w:rsidRPr="00FE4CB4">
        <w:rPr>
          <w:vertAlign w:val="superscript"/>
        </w:rPr>
        <w:t>30</w:t>
      </w:r>
      <w:r>
        <w:t>.</w:t>
      </w:r>
    </w:p>
    <w:p w:rsidRPr="00E636B3" w:rsidR="00F512DC" w:rsidP="00F512DC" w:rsidRDefault="00F512DC" w14:paraId="7E3BEF2B" w14:textId="77777777">
      <w:pPr>
        <w:autoSpaceDE w:val="0"/>
        <w:autoSpaceDN w:val="0"/>
        <w:adjustRightInd w:val="0"/>
        <w:spacing w:after="0" w:line="240" w:lineRule="auto"/>
      </w:pPr>
    </w:p>
    <w:p w:rsidRPr="00E26E5B" w:rsidR="00F512DC" w:rsidP="00F512DC" w:rsidRDefault="00F512DC" w14:paraId="5C532FFE" w14:textId="77777777">
      <w:pPr>
        <w:spacing w:after="120"/>
      </w:pPr>
      <w:r>
        <w:t>T</w:t>
      </w:r>
      <w:r w:rsidRPr="00E26E5B">
        <w:t>here were mixed specificity of methods in relation to target populations</w:t>
      </w:r>
      <w:r>
        <w:t xml:space="preserve"> and in </w:t>
      </w:r>
      <w:r w:rsidRPr="00E26E5B">
        <w:t xml:space="preserve">order to address health inequalities, local areas should consider the specificity of the interventions required based on: </w:t>
      </w:r>
    </w:p>
    <w:p w:rsidRPr="00E26E5B" w:rsidR="00F512DC" w:rsidP="00F512DC" w:rsidRDefault="00F512DC" w14:paraId="7E650859" w14:textId="77777777">
      <w:pPr>
        <w:pStyle w:val="ListParagraph"/>
        <w:numPr>
          <w:ilvl w:val="0"/>
          <w:numId w:val="31"/>
        </w:numPr>
        <w:spacing w:after="120"/>
      </w:pPr>
      <w:r w:rsidRPr="00E26E5B">
        <w:t>their local area population;</w:t>
      </w:r>
    </w:p>
    <w:p w:rsidRPr="00E26E5B" w:rsidR="00F512DC" w:rsidP="00F512DC" w:rsidRDefault="00F512DC" w14:paraId="04FE3FD0" w14:textId="77777777">
      <w:pPr>
        <w:pStyle w:val="ListParagraph"/>
        <w:numPr>
          <w:ilvl w:val="0"/>
          <w:numId w:val="31"/>
        </w:numPr>
        <w:spacing w:after="120"/>
      </w:pPr>
      <w:r w:rsidRPr="00E26E5B">
        <w:t xml:space="preserve">the geographic coverage of these areas; and </w:t>
      </w:r>
    </w:p>
    <w:p w:rsidRPr="00455B5D" w:rsidR="00F512DC" w:rsidP="00F71846" w:rsidRDefault="00F512DC" w14:paraId="28E2BD3F" w14:textId="77777777">
      <w:pPr>
        <w:pStyle w:val="ListParagraph"/>
        <w:numPr>
          <w:ilvl w:val="0"/>
          <w:numId w:val="31"/>
        </w:numPr>
      </w:pPr>
      <w:r w:rsidRPr="00E26E5B">
        <w:t>the specificity of other interventions / existing services within the local area.</w:t>
      </w:r>
    </w:p>
    <w:p w:rsidRPr="00FE4CB4" w:rsidR="00F512DC" w:rsidP="00F512DC" w:rsidRDefault="00F512DC" w14:paraId="1D82D395" w14:textId="46E5DDB5">
      <w:r>
        <w:t>Many</w:t>
      </w:r>
      <w:r w:rsidRPr="00E636B3">
        <w:t xml:space="preserve"> </w:t>
      </w:r>
      <w:r>
        <w:t xml:space="preserve">methods for addressing health inequalities were </w:t>
      </w:r>
      <w:r w:rsidRPr="00E636B3">
        <w:t>also target</w:t>
      </w:r>
      <w:r>
        <w:t>ed</w:t>
      </w:r>
      <w:r w:rsidRPr="00E636B3">
        <w:t xml:space="preserve"> individuals or communities who were </w:t>
      </w:r>
      <w:r w:rsidRPr="00E636B3">
        <w:rPr>
          <w:rFonts w:cs="Arial"/>
          <w:szCs w:val="24"/>
        </w:rPr>
        <w:t>socio-economically disadvantaged</w:t>
      </w:r>
      <w:r w:rsidRPr="00E636B3">
        <w:t xml:space="preserve">. This was often determined using socio-economic methods such as English Indices of Multiple Deprivation (IMD) and socio-economic status groups. </w:t>
      </w:r>
      <w:r>
        <w:t>Method</w:t>
      </w:r>
      <w:r w:rsidRPr="00E636B3">
        <w:t xml:space="preserve">s </w:t>
      </w:r>
      <w:r>
        <w:t>aimed at addressing health inequalities with</w:t>
      </w:r>
      <w:r w:rsidRPr="00E636B3">
        <w:t>in urban</w:t>
      </w:r>
      <w:r>
        <w:t xml:space="preserve"> or </w:t>
      </w:r>
      <w:r w:rsidRPr="00E636B3">
        <w:t xml:space="preserve">mixed areas were more diverse, with the focus </w:t>
      </w:r>
      <w:r>
        <w:t>method</w:t>
      </w:r>
      <w:r w:rsidRPr="00E636B3">
        <w:t xml:space="preserve">s mainly based on the specific community or the objective of the </w:t>
      </w:r>
      <w:r>
        <w:t>method</w:t>
      </w:r>
      <w:r w:rsidRPr="00E636B3">
        <w:t xml:space="preserve">. Within rural areas, </w:t>
      </w:r>
      <w:r>
        <w:t>method</w:t>
      </w:r>
      <w:r w:rsidRPr="00E636B3">
        <w:t>s were typically focussed on improving access to health and care services, such as issues around transport / travel distances.</w:t>
      </w:r>
    </w:p>
    <w:p w:rsidR="00F512DC" w:rsidP="00F512DC" w:rsidRDefault="00F512DC" w14:paraId="2E9144CA" w14:textId="4ACDBB38">
      <w:r>
        <w:t>T</w:t>
      </w:r>
      <w:r w:rsidR="00F129DE">
        <w:t xml:space="preserve">here was limited research that explored the cost-effectiveness and sustainability of these approaches and </w:t>
      </w:r>
      <w:r w:rsidR="00217EE1">
        <w:t>method</w:t>
      </w:r>
      <w:r w:rsidR="00F129DE">
        <w:t xml:space="preserve">s, which would be required to scale these </w:t>
      </w:r>
      <w:r w:rsidR="00217EE1">
        <w:t>method</w:t>
      </w:r>
      <w:r w:rsidR="00F129DE">
        <w:t>s</w:t>
      </w:r>
      <w:r>
        <w:t xml:space="preserve"> – with these two areas being highlighted by the expert panel as fundamental to the effectiveness of methods to address health inequalities in the long-term and should be an area for further research.</w:t>
      </w:r>
    </w:p>
    <w:p w:rsidR="00CD15D5" w:rsidP="00EC0502" w:rsidRDefault="0056151C" w14:paraId="74D060AF" w14:textId="77777777">
      <w:pPr>
        <w:rPr>
          <w:b/>
          <w:bCs/>
        </w:rPr>
      </w:pPr>
      <w:r w:rsidRPr="00EC0502">
        <w:rPr>
          <w:b/>
          <w:bCs/>
        </w:rPr>
        <w:t xml:space="preserve">Theme 3: </w:t>
      </w:r>
      <w:r w:rsidRPr="00EC0502" w:rsidR="00CD15D5">
        <w:rPr>
          <w:b/>
          <w:bCs/>
        </w:rPr>
        <w:t>What does successful engagement with local people and communities look like?</w:t>
      </w:r>
    </w:p>
    <w:p w:rsidR="00F512DC" w:rsidP="00F512DC" w:rsidRDefault="00F512DC" w14:paraId="369C6D55" w14:textId="77777777">
      <w:pPr>
        <w:spacing w:before="240"/>
        <w:rPr>
          <w:b/>
          <w:bCs/>
        </w:rPr>
      </w:pPr>
      <w:r w:rsidRPr="00CC44B1">
        <w:rPr>
          <w:b/>
          <w:bCs/>
        </w:rPr>
        <w:t>When to engage with local people and communities?</w:t>
      </w:r>
    </w:p>
    <w:p w:rsidR="00F512DC" w:rsidP="00F512DC" w:rsidRDefault="00F512DC" w14:paraId="6AB9D098" w14:textId="42605757">
      <w:r>
        <w:t xml:space="preserve">The benefits of engaging with local people and communities was shown across the lifecycle of different intervention and initiatives. Ensuring that </w:t>
      </w:r>
      <w:r w:rsidRPr="0054363A">
        <w:t xml:space="preserve">the communities targeted by an intervention </w:t>
      </w:r>
      <w:r>
        <w:t>are included in the design and development were shown to result in successful implementation</w:t>
      </w:r>
      <w:r w:rsidRPr="0054363A">
        <w:t xml:space="preserve">. </w:t>
      </w:r>
    </w:p>
    <w:p w:rsidR="00F512DC" w:rsidP="00F512DC" w:rsidRDefault="00F512DC" w14:paraId="7C2C7C26" w14:textId="74CB504B">
      <w:r w:rsidR="00F512DC">
        <w:rPr/>
        <w:t>Successful engagement included bringing together a</w:t>
      </w:r>
      <w:r w:rsidR="00F512DC">
        <w:rPr/>
        <w:t xml:space="preserve"> range of stakeholder groups </w:t>
      </w:r>
      <w:r w:rsidR="00F512DC">
        <w:rPr/>
        <w:t xml:space="preserve">and hearing from a range of diverse voices. Common engagement groups </w:t>
      </w:r>
      <w:r w:rsidR="00F512DC">
        <w:rPr/>
        <w:t>identified</w:t>
      </w:r>
      <w:r w:rsidR="00F512DC">
        <w:rPr/>
        <w:t xml:space="preserve"> included: VCSE organisations, community champions, members of the public in the target community, researchers, healthcare providers and wider community support roles (such as police officers). Tailoring the approach to different communities’ needs and perspectives was shown to be key</w:t>
      </w:r>
      <w:r w:rsidR="00E32FB4">
        <w:rPr/>
        <w:t>.</w:t>
      </w:r>
      <w:r w:rsidR="00F512DC">
        <w:rPr/>
        <w:t xml:space="preserve"> </w:t>
      </w:r>
    </w:p>
    <w:p w:rsidR="00F512DC" w:rsidP="00F512DC" w:rsidRDefault="00F512DC" w14:paraId="2E763B9E" w14:textId="77777777">
      <w:r>
        <w:t>A number of different engagement a</w:t>
      </w:r>
      <w:r w:rsidRPr="0054363A">
        <w:t>pproaches</w:t>
      </w:r>
      <w:r>
        <w:t xml:space="preserve"> have been described but can be grouped into two broad categories</w:t>
      </w:r>
      <w:r w:rsidRPr="0054363A">
        <w:t xml:space="preserve">: </w:t>
      </w:r>
    </w:p>
    <w:p w:rsidRPr="00200762" w:rsidR="00F512DC" w:rsidP="00E32FB4" w:rsidRDefault="00F512DC" w14:paraId="08D9F531" w14:textId="0F554DE3">
      <w:pPr>
        <w:pStyle w:val="ListParagraph"/>
        <w:numPr>
          <w:ilvl w:val="0"/>
          <w:numId w:val="36"/>
        </w:numPr>
      </w:pPr>
      <w:r w:rsidRPr="00E32FB4">
        <w:rPr>
          <w:i/>
          <w:iCs/>
        </w:rPr>
        <w:t>Asset-based engagement</w:t>
      </w:r>
      <w:r>
        <w:t xml:space="preserve"> which rely on </w:t>
      </w:r>
      <w:r w:rsidRPr="0054363A">
        <w:t>local community assets</w:t>
      </w:r>
      <w:r>
        <w:t xml:space="preserve"> (people, groups, resources)</w:t>
      </w:r>
      <w:r w:rsidRPr="0054363A">
        <w:t xml:space="preserve"> to develop and strengthen communitie</w:t>
      </w:r>
      <w:r>
        <w:t>s</w:t>
      </w:r>
      <w:r w:rsidR="00E32FB4">
        <w:t xml:space="preserve">; and </w:t>
      </w:r>
      <w:r>
        <w:t xml:space="preserve"> </w:t>
      </w:r>
    </w:p>
    <w:p w:rsidR="00F512DC" w:rsidP="00E32FB4" w:rsidRDefault="00F512DC" w14:paraId="2CA015A5" w14:textId="1816F3CC">
      <w:pPr>
        <w:pStyle w:val="ListParagraph"/>
        <w:numPr>
          <w:ilvl w:val="0"/>
          <w:numId w:val="36"/>
        </w:numPr>
      </w:pPr>
      <w:r w:rsidRPr="00E32FB4">
        <w:rPr>
          <w:i/>
          <w:iCs/>
        </w:rPr>
        <w:t>Community-centred engagement</w:t>
      </w:r>
      <w:r w:rsidRPr="000D26C5">
        <w:t xml:space="preserve"> models</w:t>
      </w:r>
      <w:r w:rsidRPr="0054363A">
        <w:t xml:space="preserve"> involve</w:t>
      </w:r>
      <w:r>
        <w:t>d</w:t>
      </w:r>
      <w:r w:rsidRPr="0054363A">
        <w:t xml:space="preserve"> mobilising resources within community and co-production</w:t>
      </w:r>
      <w:r>
        <w:t xml:space="preserve">. </w:t>
      </w:r>
    </w:p>
    <w:p w:rsidR="00F512DC" w:rsidP="00E32FB4" w:rsidRDefault="00F512DC" w14:paraId="4DAD1A55" w14:textId="4FCE571E">
      <w:r>
        <w:t xml:space="preserve">Beyond the two categories for engagement, it was clear that collaboration across partners was essential to provide effective and inclusive ways of working to consider inequalities. </w:t>
      </w:r>
    </w:p>
    <w:p w:rsidR="00F512DC" w:rsidP="00F512DC" w:rsidRDefault="00F512DC" w14:paraId="6FBF01E9" w14:textId="1AF2675C">
      <w:r>
        <w:t xml:space="preserve">To ensure that </w:t>
      </w:r>
      <w:r w:rsidRPr="00C3734B">
        <w:t>communities are at the heart of approach</w:t>
      </w:r>
      <w:r>
        <w:t>, c</w:t>
      </w:r>
      <w:r w:rsidRPr="00513D34">
        <w:t>ommunity centred approach</w:t>
      </w:r>
      <w:r>
        <w:t>es</w:t>
      </w:r>
      <w:r w:rsidRPr="00513D34">
        <w:t xml:space="preserve"> </w:t>
      </w:r>
      <w:r>
        <w:t>should u</w:t>
      </w:r>
      <w:r w:rsidRPr="00513D34">
        <w:t xml:space="preserve">se </w:t>
      </w:r>
      <w:r w:rsidRPr="004C4CE3">
        <w:t>participatory methods</w:t>
      </w:r>
      <w:r w:rsidRPr="00513D34">
        <w:t xml:space="preserve"> where community members are actively involved in design, delivery</w:t>
      </w:r>
      <w:r w:rsidR="00CD4E20">
        <w:t>,</w:t>
      </w:r>
      <w:r w:rsidRPr="00513D34">
        <w:t xml:space="preserve"> and evaluation</w:t>
      </w:r>
      <w:r>
        <w:t>; u</w:t>
      </w:r>
      <w:r w:rsidRPr="00513D34">
        <w:t>se</w:t>
      </w:r>
      <w:r>
        <w:t xml:space="preserve"> </w:t>
      </w:r>
      <w:r w:rsidRPr="00513D34">
        <w:t>and build</w:t>
      </w:r>
      <w:r>
        <w:t xml:space="preserve"> </w:t>
      </w:r>
      <w:r w:rsidRPr="00513D34">
        <w:t>on local community assets in developing and delivering the project</w:t>
      </w:r>
      <w:r>
        <w:t>; and d</w:t>
      </w:r>
      <w:r w:rsidRPr="00513D34">
        <w:t>evelop collaborations and partnerships with individuals and groups at most risk of poor health</w:t>
      </w:r>
      <w:r>
        <w:t>.</w:t>
      </w:r>
    </w:p>
    <w:p w:rsidR="00F71846" w:rsidP="00E32FB4" w:rsidRDefault="00F512DC" w14:paraId="62BC1FDB" w14:textId="2E9EA9EF">
      <w:r>
        <w:t>The research highlighted a range of challenges of integrating research and practice when it comes to complex community interventions. Successful community and stakeholder engagement requires their involvement from the beginning, and at all stages of method design, delivery, evaluation</w:t>
      </w:r>
      <w:r w:rsidR="001F2B7B">
        <w:t>,</w:t>
      </w:r>
      <w:r>
        <w:t xml:space="preserve"> and dissemination. </w:t>
      </w:r>
      <w:r w:rsidR="00E32FB4">
        <w:t xml:space="preserve">Within the expert panel, it was </w:t>
      </w:r>
      <w:r w:rsidR="00085789">
        <w:t xml:space="preserve">also </w:t>
      </w:r>
      <w:r w:rsidR="00E32FB4">
        <w:t xml:space="preserve">highlighted that it can be </w:t>
      </w:r>
      <w:r w:rsidR="00386F83">
        <w:t>challenging to engage meaningfully without culturally competent services that use local assets</w:t>
      </w:r>
      <w:r w:rsidR="00E32FB4">
        <w:t xml:space="preserve">, including </w:t>
      </w:r>
      <w:r w:rsidR="00085789">
        <w:t xml:space="preserve">emphasising </w:t>
      </w:r>
      <w:r w:rsidR="00E32FB4">
        <w:t xml:space="preserve">the </w:t>
      </w:r>
      <w:r w:rsidR="00386F83">
        <w:t>need to consider cross cultural competence</w:t>
      </w:r>
      <w:r w:rsidDel="00223C67" w:rsidR="00386F83">
        <w:t xml:space="preserve"> </w:t>
      </w:r>
      <w:r w:rsidR="00386F83">
        <w:t xml:space="preserve">training not only for community members who are willing to get involved but also for the local services staff. </w:t>
      </w:r>
    </w:p>
    <w:p w:rsidRPr="00085789" w:rsidR="00085789" w:rsidP="00E32FB4" w:rsidRDefault="00085789" w14:paraId="0ECE9F0A" w14:textId="7D808078">
      <w:r w:rsidRPr="00085789">
        <w:t xml:space="preserve">Whilst this research can highlight the benefits of effective community and local engagement, there was limited evidence in the direct links to improved health outcomes or reduced inequalities. Consideration in future research may be given to establish evidence to support the link between effective engagement and improving health outcomes. </w:t>
      </w:r>
    </w:p>
    <w:p w:rsidR="0056151C" w:rsidP="0056151C" w:rsidRDefault="0056151C" w14:paraId="307E0C08" w14:textId="77777777">
      <w:pPr>
        <w:pStyle w:val="Heading2Num"/>
        <w:ind w:left="680"/>
      </w:pPr>
      <w:bookmarkStart w:name="_Toc139619176" w:id="144"/>
      <w:r>
        <w:t>Considerations for future research</w:t>
      </w:r>
      <w:bookmarkEnd w:id="144"/>
    </w:p>
    <w:p w:rsidRPr="00576A68" w:rsidR="00576A68" w:rsidP="00576A68" w:rsidRDefault="00576A68" w14:paraId="4BE75055" w14:textId="700990BB">
      <w:r>
        <w:t>Based on the evidence from this literature review and the reflections from the expert panel, there are a number of considerations of areas for future research</w:t>
      </w:r>
      <w:r w:rsidR="009F7B81">
        <w:t>:</w:t>
      </w:r>
    </w:p>
    <w:p w:rsidRPr="00B3313F" w:rsidR="00353BAA" w:rsidP="00AF10D4" w:rsidRDefault="00353BAA" w14:paraId="69F0BEB1" w14:textId="20AFE992">
      <w:pPr>
        <w:pStyle w:val="ListParagraph"/>
        <w:numPr>
          <w:ilvl w:val="0"/>
          <w:numId w:val="22"/>
        </w:numPr>
        <w:ind w:left="714" w:hanging="357"/>
        <w:contextualSpacing w:val="0"/>
        <w:rPr>
          <w:b/>
        </w:rPr>
        <w:sectPr w:rsidRPr="00B3313F" w:rsidR="00353BAA" w:rsidSect="004C6831">
          <w:pgSz w:w="11906" w:h="16838" w:orient="portrait"/>
          <w:pgMar w:top="1985" w:right="1418" w:bottom="1134" w:left="851" w:header="624" w:footer="510" w:gutter="0"/>
          <w:cols w:space="708"/>
          <w:docGrid w:linePitch="360"/>
        </w:sectPr>
      </w:pPr>
      <w:r w:rsidRPr="00D24E74">
        <w:rPr>
          <w:b/>
          <w:bCs/>
        </w:rPr>
        <w:t xml:space="preserve">Whole </w:t>
      </w:r>
      <w:r w:rsidR="00EF3FCB">
        <w:rPr>
          <w:b/>
          <w:bCs/>
        </w:rPr>
        <w:t xml:space="preserve">improvement </w:t>
      </w:r>
      <w:r w:rsidRPr="00D24E74">
        <w:rPr>
          <w:b/>
          <w:bCs/>
        </w:rPr>
        <w:t>pathway framework:</w:t>
      </w:r>
      <w:r>
        <w:rPr>
          <w:b/>
          <w:bCs/>
        </w:rPr>
        <w:t xml:space="preserve"> </w:t>
      </w:r>
      <w:r>
        <w:t>many of the studies cited within this literature review referenced a particular point in the process of addressing health inequalities (ie the identification of health inequalities, delivering on intervention</w:t>
      </w:r>
      <w:r w:rsidR="00217EE1">
        <w:t xml:space="preserve"> method</w:t>
      </w:r>
      <w:r>
        <w:t xml:space="preserve">s, engaging within communities) as a standalone focus. This has made it challenging to provide evidence as to how these elements of the process are interlinked – this is particularly prevalent for the steps between identifying a health inequality within a local area to then developing and delivering an intervention to address that health inequality. To address this gap, a series of mini case studies could be undertaken with a stratified sample of systems to better understand these linkages in addressing health inequalities across the “whole pathway” in order to have a holistic understanding of the process. </w:t>
      </w:r>
    </w:p>
    <w:p w:rsidR="0056151C" w:rsidP="00AF10D4" w:rsidRDefault="009F7B81" w14:paraId="6EA056AF" w14:textId="66B0CACC">
      <w:pPr>
        <w:pStyle w:val="ListParagraph"/>
        <w:numPr>
          <w:ilvl w:val="0"/>
          <w:numId w:val="22"/>
        </w:numPr>
        <w:ind w:left="714" w:hanging="357"/>
        <w:contextualSpacing w:val="0"/>
      </w:pPr>
      <w:r w:rsidRPr="009F7B81">
        <w:rPr>
          <w:b/>
          <w:bCs/>
        </w:rPr>
        <w:t>Sustainability:</w:t>
      </w:r>
      <w:r>
        <w:t xml:space="preserve"> </w:t>
      </w:r>
      <w:r w:rsidR="00E20496">
        <w:t>within the broad scope of this literature review, sustainability was only cited to a limited extent. Sustainability was highlighted as a critical success factor by the expert panel for systems to be able to address health inequalities within their local area. Further research could be undertaken to focus on understanding h</w:t>
      </w:r>
      <w:r w:rsidR="0056151C">
        <w:t xml:space="preserve">ow successful </w:t>
      </w:r>
      <w:r w:rsidR="00E20496">
        <w:t xml:space="preserve">one-off </w:t>
      </w:r>
      <w:r w:rsidR="0056151C">
        <w:t>intervention</w:t>
      </w:r>
      <w:r w:rsidR="00217EE1">
        <w:t xml:space="preserve"> method</w:t>
      </w:r>
      <w:r w:rsidR="0056151C">
        <w:t xml:space="preserve">s could </w:t>
      </w:r>
      <w:r w:rsidR="00AB39A5">
        <w:t xml:space="preserve">be </w:t>
      </w:r>
      <w:r w:rsidR="00E20496">
        <w:t>embedded into health and care systems and scaled (including the exploration of critical success factors for sustainable intervention</w:t>
      </w:r>
      <w:r w:rsidR="00217EE1">
        <w:t xml:space="preserve"> methods</w:t>
      </w:r>
      <w:r w:rsidR="00E20496">
        <w:t xml:space="preserve">, models which support sustainability, economic / financial considerations and lessons learnt in embedding one-off interventions into business as usual). </w:t>
      </w:r>
    </w:p>
    <w:p w:rsidRPr="006049D3" w:rsidR="0056151C" w:rsidP="00AF10D4" w:rsidRDefault="00E20496" w14:paraId="182A783B" w14:textId="343C64F8">
      <w:pPr>
        <w:pStyle w:val="ListParagraph"/>
        <w:numPr>
          <w:ilvl w:val="0"/>
          <w:numId w:val="22"/>
        </w:numPr>
        <w:ind w:left="714" w:hanging="357"/>
        <w:contextualSpacing w:val="0"/>
      </w:pPr>
      <w:r w:rsidRPr="00E20496">
        <w:rPr>
          <w:b/>
          <w:bCs/>
        </w:rPr>
        <w:t xml:space="preserve">Improving </w:t>
      </w:r>
      <w:r>
        <w:rPr>
          <w:b/>
          <w:bCs/>
        </w:rPr>
        <w:t xml:space="preserve">the </w:t>
      </w:r>
      <w:r w:rsidRPr="00E20496">
        <w:rPr>
          <w:b/>
          <w:bCs/>
        </w:rPr>
        <w:t>evaluation</w:t>
      </w:r>
      <w:r>
        <w:rPr>
          <w:b/>
          <w:bCs/>
        </w:rPr>
        <w:t xml:space="preserve"> of </w:t>
      </w:r>
      <w:r w:rsidR="00217EE1">
        <w:rPr>
          <w:b/>
          <w:bCs/>
        </w:rPr>
        <w:t>method</w:t>
      </w:r>
      <w:r>
        <w:rPr>
          <w:b/>
          <w:bCs/>
        </w:rPr>
        <w:t>s</w:t>
      </w:r>
      <w:r w:rsidRPr="00E20496">
        <w:rPr>
          <w:b/>
          <w:bCs/>
        </w:rPr>
        <w:t>:</w:t>
      </w:r>
      <w:r>
        <w:t xml:space="preserve"> </w:t>
      </w:r>
      <w:r w:rsidR="00D24E74">
        <w:t>within the research, many of the intervention</w:t>
      </w:r>
      <w:r w:rsidR="00217EE1">
        <w:t xml:space="preserve"> method</w:t>
      </w:r>
      <w:r w:rsidR="00D24E74">
        <w:t xml:space="preserve">s </w:t>
      </w:r>
      <w:r w:rsidR="000864B0">
        <w:t xml:space="preserve">which </w:t>
      </w:r>
      <w:r w:rsidR="00D24E74">
        <w:t xml:space="preserve">have been presented </w:t>
      </w:r>
      <w:r w:rsidR="000864B0">
        <w:t xml:space="preserve">have provided limited detail around whether the intervention has been evaluated and whether it has been able to meet its intended outcome (via the quantification of impact) and / or provide value for money to the system (which links to the sustainability point above). One of the challenges with the quantification of impact / cost effectiveness for specific interventions can often be the linking of </w:t>
      </w:r>
      <w:r w:rsidR="00E3241A">
        <w:t xml:space="preserve">health </w:t>
      </w:r>
      <w:r w:rsidR="000864B0">
        <w:t xml:space="preserve">outcome measures to </w:t>
      </w:r>
      <w:r w:rsidR="00217EE1">
        <w:t xml:space="preserve">methods </w:t>
      </w:r>
      <w:r w:rsidR="00E3241A">
        <w:t>and approaches to taking into account the complexities of estimating attribution. Further research into good practice in how to address these challenges would provide local systems with a robust evidence base to improve the evaluation of intervention</w:t>
      </w:r>
      <w:r w:rsidR="00217EE1">
        <w:t xml:space="preserve"> method</w:t>
      </w:r>
      <w:r w:rsidR="00E3241A">
        <w:t>s, enabling successful interventions to be embedded and less successful intervention</w:t>
      </w:r>
      <w:r w:rsidR="00217EE1">
        <w:t xml:space="preserve"> method</w:t>
      </w:r>
      <w:r w:rsidR="00E3241A">
        <w:t>s to be improved or concluded. Evidence around the quantification of impact / value for money also provides transparency around the use of public money to fund these interventions.</w:t>
      </w:r>
    </w:p>
    <w:p w:rsidR="00D05498" w:rsidP="00672BFB" w:rsidRDefault="000E28B9" w14:paraId="3F2EEBC2" w14:textId="1D7F34C9">
      <w:pPr>
        <w:pStyle w:val="Heading1"/>
        <w:spacing w:after="120"/>
      </w:pPr>
      <w:bookmarkStart w:name="_Ref129760692" w:id="145"/>
      <w:bookmarkStart w:name="_Toc129861347" w:id="146"/>
      <w:bookmarkStart w:name="_Toc129865454" w:id="147"/>
      <w:bookmarkStart w:name="_Toc129865502" w:id="148"/>
      <w:bookmarkStart w:name="_Toc129953110" w:id="149"/>
      <w:bookmarkStart w:name="_Toc129953141" w:id="150"/>
      <w:bookmarkStart w:name="_Toc129953220" w:id="151"/>
      <w:bookmarkStart w:name="_Toc129953592" w:id="152"/>
      <w:bookmarkStart w:name="_Toc146539772" w:id="153"/>
      <w:bookmarkEnd w:id="8"/>
      <w:r>
        <w:t>Annex</w:t>
      </w:r>
      <w:r w:rsidR="008550C0">
        <w:t xml:space="preserve"> A</w:t>
      </w:r>
      <w:bookmarkEnd w:id="145"/>
      <w:bookmarkEnd w:id="146"/>
      <w:bookmarkEnd w:id="147"/>
      <w:bookmarkEnd w:id="148"/>
      <w:bookmarkEnd w:id="149"/>
      <w:bookmarkEnd w:id="150"/>
      <w:bookmarkEnd w:id="151"/>
      <w:bookmarkEnd w:id="152"/>
      <w:r w:rsidR="00F2473C">
        <w:t xml:space="preserve"> – Research Questions</w:t>
      </w:r>
      <w:bookmarkEnd w:id="153"/>
      <w:r w:rsidR="00F2473C">
        <w:t xml:space="preserve"> </w:t>
      </w:r>
    </w:p>
    <w:p w:rsidRPr="00F74ACF" w:rsidR="002A45D9" w:rsidP="00F2473C" w:rsidRDefault="002A45D9" w14:paraId="5F5CB5AA" w14:textId="77777777">
      <w:pPr>
        <w:rPr>
          <w:rFonts w:eastAsia="Times New Roman" w:cs="Arial"/>
        </w:rPr>
      </w:pPr>
      <w:bookmarkStart w:name="_Toc139619178" w:id="154"/>
      <w:r w:rsidRPr="00F74ACF">
        <w:rPr>
          <w:rFonts w:eastAsia="Times New Roman" w:cs="Arial"/>
        </w:rPr>
        <w:t>Our focus in this research will be on literature gathered from several sources including academic publications as well as grey literature, such as policy/legislation, opinion pieces, government guidance, evaluations and media/news articles which provide evidence on interventions to reduce health inequalities in local areas.</w:t>
      </w:r>
      <w:bookmarkEnd w:id="154"/>
      <w:r w:rsidRPr="00F74ACF">
        <w:rPr>
          <w:rFonts w:eastAsia="Times New Roman" w:cs="Arial"/>
        </w:rPr>
        <w:t xml:space="preserve"> </w:t>
      </w:r>
    </w:p>
    <w:p w:rsidRPr="00F2473C" w:rsidR="002A45D9" w:rsidP="00F2473C" w:rsidRDefault="002A45D9" w14:paraId="02B224EF" w14:textId="77777777">
      <w:pPr>
        <w:rPr>
          <w:b/>
        </w:rPr>
      </w:pPr>
      <w:r w:rsidRPr="00F2473C">
        <w:rPr>
          <w:b/>
        </w:rPr>
        <w:t>Research questions:</w:t>
      </w:r>
    </w:p>
    <w:tbl>
      <w:tblPr>
        <w:tblStyle w:val="PlainTable1"/>
        <w:tblW w:w="10523" w:type="dxa"/>
        <w:tblLook w:val="04A0" w:firstRow="1" w:lastRow="0" w:firstColumn="1" w:lastColumn="0" w:noHBand="0" w:noVBand="1"/>
      </w:tblPr>
      <w:tblGrid>
        <w:gridCol w:w="2547"/>
        <w:gridCol w:w="7976"/>
      </w:tblGrid>
      <w:tr w:rsidRPr="00F74ACF" w:rsidR="002A45D9" w:rsidTr="002A45D9" w14:paraId="78D68DC8" w14:textId="7777777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47" w:type="dxa"/>
          </w:tcPr>
          <w:p w:rsidRPr="00F74ACF" w:rsidR="002A45D9" w:rsidP="002A45D9" w:rsidRDefault="002A45D9" w14:paraId="073FA711" w14:textId="7F139200">
            <w:pPr>
              <w:spacing w:after="120"/>
              <w:rPr>
                <w:rFonts w:eastAsia="Arial" w:cs="Arial"/>
                <w:szCs w:val="24"/>
              </w:rPr>
            </w:pPr>
            <w:bookmarkStart w:name="_Hlk121737179" w:id="155"/>
            <w:r w:rsidRPr="00F74ACF">
              <w:rPr>
                <w:rFonts w:eastAsia="Arial" w:cs="Arial"/>
                <w:szCs w:val="24"/>
              </w:rPr>
              <w:t xml:space="preserve">Primary research questions </w:t>
            </w:r>
          </w:p>
        </w:tc>
        <w:tc>
          <w:tcPr>
            <w:tcW w:w="7976" w:type="dxa"/>
          </w:tcPr>
          <w:p w:rsidRPr="00F74ACF" w:rsidR="002A45D9" w:rsidP="002A45D9" w:rsidRDefault="002A45D9" w14:paraId="2FF8DA2C" w14:textId="77777777">
            <w:pPr>
              <w:spacing w:after="120"/>
              <w:cnfStyle w:val="100000000000" w:firstRow="1" w:lastRow="0" w:firstColumn="0" w:lastColumn="0" w:oddVBand="0" w:evenVBand="0" w:oddHBand="0" w:evenHBand="0" w:firstRowFirstColumn="0" w:firstRowLastColumn="0" w:lastRowFirstColumn="0" w:lastRowLastColumn="0"/>
              <w:rPr>
                <w:rFonts w:eastAsia="Arial" w:cs="Arial"/>
                <w:szCs w:val="24"/>
              </w:rPr>
            </w:pPr>
            <w:r w:rsidRPr="00F74ACF">
              <w:rPr>
                <w:rFonts w:eastAsia="Arial" w:cs="Arial"/>
                <w:szCs w:val="24"/>
              </w:rPr>
              <w:t xml:space="preserve">Sub-questions to be explored </w:t>
            </w:r>
          </w:p>
        </w:tc>
      </w:tr>
      <w:tr w:rsidRPr="00F74ACF" w:rsidR="002A45D9" w:rsidTr="002A45D9" w14:paraId="201387B7" w14:textId="77777777">
        <w:trPr>
          <w:cnfStyle w:val="000000100000" w:firstRow="0" w:lastRow="0" w:firstColumn="0" w:lastColumn="0" w:oddVBand="0" w:evenVBand="0" w:oddHBand="1" w:evenHBand="0" w:firstRowFirstColumn="0" w:firstRowLastColumn="0" w:lastRowFirstColumn="0" w:lastRowLastColumn="0"/>
          <w:trHeight w:val="1431"/>
        </w:trPr>
        <w:tc>
          <w:tcPr>
            <w:cnfStyle w:val="001000000000" w:firstRow="0" w:lastRow="0" w:firstColumn="1" w:lastColumn="0" w:oddVBand="0" w:evenVBand="0" w:oddHBand="0" w:evenHBand="0" w:firstRowFirstColumn="0" w:firstRowLastColumn="0" w:lastRowFirstColumn="0" w:lastRowLastColumn="0"/>
            <w:tcW w:w="2547" w:type="dxa"/>
          </w:tcPr>
          <w:p w:rsidRPr="00F74ACF" w:rsidR="002A45D9" w:rsidP="00AF10D4" w:rsidRDefault="002A45D9" w14:paraId="5A0A315F" w14:textId="77777777">
            <w:pPr>
              <w:numPr>
                <w:ilvl w:val="0"/>
                <w:numId w:val="15"/>
              </w:numPr>
              <w:spacing w:after="120"/>
              <w:ind w:left="360"/>
              <w:rPr>
                <w:rFonts w:eastAsia="Times New Roman" w:cs="Arial"/>
                <w:szCs w:val="24"/>
              </w:rPr>
            </w:pPr>
            <w:r w:rsidRPr="00F74ACF">
              <w:rPr>
                <w:rFonts w:eastAsia="Times New Roman" w:cs="Arial"/>
                <w:szCs w:val="24"/>
              </w:rPr>
              <w:t>What are effective ways of identifying local health inequalities or potential health inequalities?</w:t>
            </w:r>
          </w:p>
        </w:tc>
        <w:tc>
          <w:tcPr>
            <w:tcW w:w="7976" w:type="dxa"/>
          </w:tcPr>
          <w:p w:rsidRPr="00F74ACF" w:rsidR="002A45D9" w:rsidP="00AF10D4" w:rsidRDefault="002A45D9" w14:paraId="5414E78C" w14:textId="77777777">
            <w:pPr>
              <w:numPr>
                <w:ilvl w:val="1"/>
                <w:numId w:val="14"/>
              </w:numPr>
              <w:spacing w:after="120"/>
              <w:ind w:left="360"/>
              <w:cnfStyle w:val="000000100000" w:firstRow="0" w:lastRow="0" w:firstColumn="0" w:lastColumn="0" w:oddVBand="0" w:evenVBand="0" w:oddHBand="1" w:evenHBand="0" w:firstRowFirstColumn="0" w:firstRowLastColumn="0" w:lastRowFirstColumn="0" w:lastRowLastColumn="0"/>
              <w:rPr>
                <w:rFonts w:eastAsia="Times New Roman" w:cs="Arial"/>
                <w:szCs w:val="24"/>
              </w:rPr>
            </w:pPr>
            <w:r w:rsidRPr="00F74ACF">
              <w:rPr>
                <w:rFonts w:eastAsia="Times New Roman" w:cs="Arial"/>
                <w:szCs w:val="24"/>
              </w:rPr>
              <w:t>What are the different approaches to identifying / segmenting local health inequalities?</w:t>
            </w:r>
          </w:p>
          <w:p w:rsidRPr="00F74ACF" w:rsidR="002A45D9" w:rsidP="00AF10D4" w:rsidRDefault="002A45D9" w14:paraId="4103BE20" w14:textId="77777777">
            <w:pPr>
              <w:numPr>
                <w:ilvl w:val="1"/>
                <w:numId w:val="14"/>
              </w:numPr>
              <w:spacing w:after="120"/>
              <w:ind w:left="360"/>
              <w:cnfStyle w:val="000000100000" w:firstRow="0" w:lastRow="0" w:firstColumn="0" w:lastColumn="0" w:oddVBand="0" w:evenVBand="0" w:oddHBand="1" w:evenHBand="0" w:firstRowFirstColumn="0" w:firstRowLastColumn="0" w:lastRowFirstColumn="0" w:lastRowLastColumn="0"/>
              <w:rPr>
                <w:rFonts w:eastAsia="Times New Roman" w:cs="Arial"/>
                <w:szCs w:val="24"/>
              </w:rPr>
            </w:pPr>
            <w:r w:rsidRPr="00F74ACF">
              <w:rPr>
                <w:rFonts w:eastAsia="Times New Roman" w:cs="Arial"/>
                <w:szCs w:val="24"/>
              </w:rPr>
              <w:t>What are the common conditions for success in identifying local health inequalities?</w:t>
            </w:r>
          </w:p>
          <w:p w:rsidRPr="00F74ACF" w:rsidR="002A45D9" w:rsidP="00AF10D4" w:rsidRDefault="002A45D9" w14:paraId="47A1AA6A" w14:textId="77777777">
            <w:pPr>
              <w:numPr>
                <w:ilvl w:val="1"/>
                <w:numId w:val="14"/>
              </w:numPr>
              <w:spacing w:after="120"/>
              <w:ind w:left="360"/>
              <w:cnfStyle w:val="000000100000" w:firstRow="0" w:lastRow="0" w:firstColumn="0" w:lastColumn="0" w:oddVBand="0" w:evenVBand="0" w:oddHBand="1" w:evenHBand="0" w:firstRowFirstColumn="0" w:firstRowLastColumn="0" w:lastRowFirstColumn="0" w:lastRowLastColumn="0"/>
              <w:rPr>
                <w:rFonts w:eastAsia="Times New Roman" w:cs="Arial"/>
                <w:szCs w:val="24"/>
              </w:rPr>
            </w:pPr>
            <w:r w:rsidRPr="00F74ACF">
              <w:rPr>
                <w:rFonts w:eastAsia="Times New Roman" w:cs="Arial"/>
                <w:szCs w:val="24"/>
              </w:rPr>
              <w:t>What are the common areas of challenge in identifying local health inequalities?</w:t>
            </w:r>
          </w:p>
        </w:tc>
      </w:tr>
      <w:tr w:rsidRPr="00F74ACF" w:rsidR="002A45D9" w:rsidTr="002A45D9" w14:paraId="4D7B0E1C" w14:textId="77777777">
        <w:trPr>
          <w:trHeight w:val="1068"/>
        </w:trPr>
        <w:tc>
          <w:tcPr>
            <w:cnfStyle w:val="001000000000" w:firstRow="0" w:lastRow="0" w:firstColumn="1" w:lastColumn="0" w:oddVBand="0" w:evenVBand="0" w:oddHBand="0" w:evenHBand="0" w:firstRowFirstColumn="0" w:firstRowLastColumn="0" w:lastRowFirstColumn="0" w:lastRowLastColumn="0"/>
            <w:tcW w:w="2547" w:type="dxa"/>
          </w:tcPr>
          <w:p w:rsidRPr="00F74ACF" w:rsidR="002A45D9" w:rsidP="00AF10D4" w:rsidRDefault="002A45D9" w14:paraId="284A3DD7" w14:textId="77777777">
            <w:pPr>
              <w:numPr>
                <w:ilvl w:val="0"/>
                <w:numId w:val="15"/>
              </w:numPr>
              <w:spacing w:after="120"/>
              <w:ind w:left="360"/>
              <w:rPr>
                <w:rFonts w:eastAsia="Times New Roman" w:cs="Arial"/>
                <w:szCs w:val="24"/>
              </w:rPr>
            </w:pPr>
            <w:r w:rsidRPr="00F74ACF">
              <w:rPr>
                <w:rFonts w:eastAsia="Times New Roman" w:cs="Arial"/>
                <w:szCs w:val="24"/>
              </w:rPr>
              <w:t>What are the evidence-based interventions</w:t>
            </w:r>
            <w:r>
              <w:rPr>
                <w:rFonts w:eastAsia="Times New Roman" w:cs="Arial"/>
                <w:szCs w:val="24"/>
              </w:rPr>
              <w:t xml:space="preserve"> </w:t>
            </w:r>
            <w:r w:rsidRPr="00F74ACF">
              <w:rPr>
                <w:rFonts w:eastAsia="Times New Roman" w:cs="Arial"/>
                <w:szCs w:val="24"/>
              </w:rPr>
              <w:t>/</w:t>
            </w:r>
            <w:r>
              <w:rPr>
                <w:rFonts w:eastAsia="Times New Roman" w:cs="Arial"/>
                <w:szCs w:val="24"/>
              </w:rPr>
              <w:t xml:space="preserve"> </w:t>
            </w:r>
            <w:r w:rsidRPr="00F74ACF">
              <w:rPr>
                <w:rFonts w:eastAsia="Times New Roman" w:cs="Arial"/>
                <w:szCs w:val="24"/>
              </w:rPr>
              <w:t xml:space="preserve">approaches that work in a local area? </w:t>
            </w:r>
          </w:p>
        </w:tc>
        <w:tc>
          <w:tcPr>
            <w:tcW w:w="7976" w:type="dxa"/>
          </w:tcPr>
          <w:p w:rsidRPr="00F74ACF" w:rsidR="002A45D9" w:rsidP="00AF10D4" w:rsidRDefault="002A45D9" w14:paraId="43332A16" w14:textId="77777777">
            <w:pPr>
              <w:numPr>
                <w:ilvl w:val="1"/>
                <w:numId w:val="16"/>
              </w:numPr>
              <w:spacing w:after="120"/>
              <w:ind w:left="36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74ACF">
              <w:rPr>
                <w:rFonts w:eastAsia="Times New Roman" w:cs="Arial"/>
                <w:szCs w:val="24"/>
              </w:rPr>
              <w:t>What are the approaches which prevent health inequalities?</w:t>
            </w:r>
          </w:p>
          <w:p w:rsidRPr="00F74ACF" w:rsidR="002A45D9" w:rsidP="00AF10D4" w:rsidRDefault="002A45D9" w14:paraId="1CE264B0" w14:textId="77777777">
            <w:pPr>
              <w:numPr>
                <w:ilvl w:val="1"/>
                <w:numId w:val="16"/>
              </w:numPr>
              <w:spacing w:after="120"/>
              <w:ind w:left="36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74ACF">
              <w:rPr>
                <w:rFonts w:eastAsia="Times New Roman" w:cs="Arial"/>
                <w:szCs w:val="24"/>
              </w:rPr>
              <w:t>What are the approaches for addressing health inequalities in terms of access?</w:t>
            </w:r>
          </w:p>
          <w:p w:rsidRPr="00F74ACF" w:rsidR="002A45D9" w:rsidP="00AF10D4" w:rsidRDefault="002A45D9" w14:paraId="343D6D7C" w14:textId="77777777">
            <w:pPr>
              <w:numPr>
                <w:ilvl w:val="1"/>
                <w:numId w:val="16"/>
              </w:numPr>
              <w:spacing w:after="120"/>
              <w:ind w:left="36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74ACF">
              <w:rPr>
                <w:rFonts w:eastAsia="Times New Roman" w:cs="Arial"/>
                <w:szCs w:val="24"/>
              </w:rPr>
              <w:t>What are the approaches for addressing health inequalities in terms of use?</w:t>
            </w:r>
          </w:p>
          <w:p w:rsidRPr="00F74ACF" w:rsidR="002A45D9" w:rsidP="00AF10D4" w:rsidRDefault="002A45D9" w14:paraId="339DF4B5" w14:textId="77777777">
            <w:pPr>
              <w:numPr>
                <w:ilvl w:val="1"/>
                <w:numId w:val="16"/>
              </w:numPr>
              <w:spacing w:after="120"/>
              <w:ind w:left="36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74ACF">
              <w:rPr>
                <w:rFonts w:eastAsia="Times New Roman" w:cs="Arial"/>
                <w:szCs w:val="24"/>
              </w:rPr>
              <w:t>What are the approaches for addressing health inequalities in terms of outcomes?</w:t>
            </w:r>
          </w:p>
          <w:p w:rsidRPr="00F74ACF" w:rsidR="002A45D9" w:rsidP="00AF10D4" w:rsidRDefault="002A45D9" w14:paraId="4DC1823E" w14:textId="77777777">
            <w:pPr>
              <w:numPr>
                <w:ilvl w:val="1"/>
                <w:numId w:val="16"/>
              </w:numPr>
              <w:spacing w:after="120"/>
              <w:ind w:left="36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74ACF">
              <w:rPr>
                <w:rFonts w:eastAsia="Times New Roman" w:cs="Arial"/>
                <w:szCs w:val="24"/>
              </w:rPr>
              <w:t>Are interventions / approaches generic or specific to reducing inequalities for people from specific communities or with specific characteristics?</w:t>
            </w:r>
          </w:p>
          <w:p w:rsidRPr="00F74ACF" w:rsidR="002A45D9" w:rsidP="00AF10D4" w:rsidRDefault="002A45D9" w14:paraId="13AE7119" w14:textId="4A5DA1AA">
            <w:pPr>
              <w:numPr>
                <w:ilvl w:val="1"/>
                <w:numId w:val="16"/>
              </w:numPr>
              <w:spacing w:after="120"/>
              <w:ind w:left="36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74ACF">
              <w:rPr>
                <w:rFonts w:eastAsia="Times New Roman" w:cs="Arial"/>
                <w:szCs w:val="24"/>
              </w:rPr>
              <w:t>How reducing health inequalities within a local area varies between different types of area (eg inner city, rural, coastal)?</w:t>
            </w:r>
          </w:p>
          <w:p w:rsidRPr="00F74ACF" w:rsidR="002A45D9" w:rsidP="00AF10D4" w:rsidRDefault="002A45D9" w14:paraId="26358721" w14:textId="77777777">
            <w:pPr>
              <w:numPr>
                <w:ilvl w:val="1"/>
                <w:numId w:val="16"/>
              </w:numPr>
              <w:spacing w:after="120"/>
              <w:ind w:left="36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74ACF">
              <w:rPr>
                <w:rFonts w:eastAsia="Times New Roman" w:cs="Arial"/>
                <w:szCs w:val="24"/>
              </w:rPr>
              <w:t>What are the common conditions for success, including how this relates to commissioning, service provision, partnership working etc.</w:t>
            </w:r>
          </w:p>
          <w:p w:rsidRPr="00F74ACF" w:rsidR="002A45D9" w:rsidP="00AF10D4" w:rsidRDefault="002A45D9" w14:paraId="6E8DB58E" w14:textId="77777777">
            <w:pPr>
              <w:numPr>
                <w:ilvl w:val="1"/>
                <w:numId w:val="16"/>
              </w:numPr>
              <w:spacing w:after="120"/>
              <w:ind w:left="360"/>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F74ACF">
              <w:rPr>
                <w:rFonts w:eastAsia="Times New Roman" w:cs="Arial"/>
                <w:szCs w:val="24"/>
              </w:rPr>
              <w:t>What are the common areas of challenge, including how this relates to commissioning, service provision, partnership working etc.</w:t>
            </w:r>
          </w:p>
        </w:tc>
      </w:tr>
      <w:tr w:rsidRPr="00F74ACF" w:rsidR="002A45D9" w:rsidTr="002A45D9" w14:paraId="57A1AD1B" w14:textId="77777777">
        <w:trPr>
          <w:cnfStyle w:val="000000100000" w:firstRow="0" w:lastRow="0" w:firstColumn="0" w:lastColumn="0" w:oddVBand="0" w:evenVBand="0" w:oddHBand="1"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2547" w:type="dxa"/>
          </w:tcPr>
          <w:p w:rsidRPr="00F74ACF" w:rsidR="002A45D9" w:rsidP="00AF10D4" w:rsidRDefault="002A45D9" w14:paraId="04D91607" w14:textId="77777777">
            <w:pPr>
              <w:numPr>
                <w:ilvl w:val="0"/>
                <w:numId w:val="15"/>
              </w:numPr>
              <w:spacing w:after="120"/>
              <w:ind w:left="360"/>
              <w:rPr>
                <w:rFonts w:eastAsia="Times New Roman" w:cs="Arial"/>
                <w:szCs w:val="24"/>
              </w:rPr>
            </w:pPr>
            <w:r w:rsidRPr="00F74ACF">
              <w:rPr>
                <w:rFonts w:eastAsia="Times New Roman" w:cs="Arial"/>
                <w:szCs w:val="24"/>
              </w:rPr>
              <w:t>What does successful engagement with local people and communities look like?</w:t>
            </w:r>
          </w:p>
        </w:tc>
        <w:tc>
          <w:tcPr>
            <w:tcW w:w="7976" w:type="dxa"/>
          </w:tcPr>
          <w:p w:rsidRPr="00F74ACF" w:rsidR="002A45D9" w:rsidP="00AF10D4" w:rsidRDefault="002A45D9" w14:paraId="172EB375" w14:textId="77777777">
            <w:pPr>
              <w:numPr>
                <w:ilvl w:val="1"/>
                <w:numId w:val="17"/>
              </w:numPr>
              <w:spacing w:after="120"/>
              <w:ind w:left="360"/>
              <w:cnfStyle w:val="000000100000" w:firstRow="0" w:lastRow="0" w:firstColumn="0" w:lastColumn="0" w:oddVBand="0" w:evenVBand="0" w:oddHBand="1" w:evenHBand="0" w:firstRowFirstColumn="0" w:firstRowLastColumn="0" w:lastRowFirstColumn="0" w:lastRowLastColumn="0"/>
              <w:rPr>
                <w:rFonts w:eastAsia="Times New Roman" w:cs="Arial"/>
                <w:szCs w:val="24"/>
              </w:rPr>
            </w:pPr>
            <w:r w:rsidRPr="00F74ACF">
              <w:rPr>
                <w:rFonts w:eastAsia="Times New Roman" w:cs="Arial"/>
                <w:szCs w:val="24"/>
              </w:rPr>
              <w:t>What types of local engagement have been used to develop plans and approaches to reduce inequalities?</w:t>
            </w:r>
          </w:p>
          <w:p w:rsidRPr="00F74ACF" w:rsidR="002A45D9" w:rsidP="00AF10D4" w:rsidRDefault="002A45D9" w14:paraId="75A749B8" w14:textId="77777777">
            <w:pPr>
              <w:numPr>
                <w:ilvl w:val="1"/>
                <w:numId w:val="17"/>
              </w:numPr>
              <w:spacing w:after="120"/>
              <w:ind w:left="360"/>
              <w:cnfStyle w:val="000000100000" w:firstRow="0" w:lastRow="0" w:firstColumn="0" w:lastColumn="0" w:oddVBand="0" w:evenVBand="0" w:oddHBand="1" w:evenHBand="0" w:firstRowFirstColumn="0" w:firstRowLastColumn="0" w:lastRowFirstColumn="0" w:lastRowLastColumn="0"/>
              <w:rPr>
                <w:rFonts w:eastAsia="Times New Roman" w:cs="Arial"/>
                <w:szCs w:val="24"/>
              </w:rPr>
            </w:pPr>
            <w:r w:rsidRPr="00F74ACF">
              <w:rPr>
                <w:rFonts w:eastAsia="Times New Roman" w:cs="Arial"/>
                <w:szCs w:val="24"/>
              </w:rPr>
              <w:t>What are the common conditions for success in engaging with local people and communities?</w:t>
            </w:r>
          </w:p>
          <w:p w:rsidRPr="00F74ACF" w:rsidR="002A45D9" w:rsidP="00AF10D4" w:rsidRDefault="002A45D9" w14:paraId="2DC41D38" w14:textId="77777777">
            <w:pPr>
              <w:numPr>
                <w:ilvl w:val="1"/>
                <w:numId w:val="17"/>
              </w:numPr>
              <w:spacing w:after="120"/>
              <w:ind w:left="360"/>
              <w:cnfStyle w:val="000000100000" w:firstRow="0" w:lastRow="0" w:firstColumn="0" w:lastColumn="0" w:oddVBand="0" w:evenVBand="0" w:oddHBand="1" w:evenHBand="0" w:firstRowFirstColumn="0" w:firstRowLastColumn="0" w:lastRowFirstColumn="0" w:lastRowLastColumn="0"/>
              <w:rPr>
                <w:rFonts w:eastAsia="Times New Roman" w:cs="Arial"/>
                <w:szCs w:val="24"/>
              </w:rPr>
            </w:pPr>
            <w:r w:rsidRPr="00F74ACF">
              <w:rPr>
                <w:rFonts w:eastAsia="Times New Roman" w:cs="Arial"/>
                <w:szCs w:val="24"/>
              </w:rPr>
              <w:t>What are the common areas of challenge in engaging with local people and communities?</w:t>
            </w:r>
          </w:p>
        </w:tc>
      </w:tr>
    </w:tbl>
    <w:p w:rsidR="00FD4557" w:rsidP="002A45D9" w:rsidRDefault="00FD4557" w14:paraId="1970AA0A" w14:textId="14816D1F">
      <w:pPr>
        <w:pStyle w:val="Heading1"/>
        <w:spacing w:after="120" w:line="264" w:lineRule="auto"/>
      </w:pPr>
      <w:bookmarkStart w:name="_Toc129861348" w:id="156"/>
      <w:bookmarkStart w:name="_Toc129865455" w:id="157"/>
      <w:bookmarkStart w:name="_Toc129865503" w:id="158"/>
      <w:bookmarkStart w:name="_Toc129953111" w:id="159"/>
      <w:bookmarkStart w:name="_Toc129953142" w:id="160"/>
      <w:bookmarkStart w:name="_Toc129953221" w:id="161"/>
      <w:bookmarkStart w:name="_Toc129953593" w:id="162"/>
      <w:bookmarkStart w:name="_Toc146539773" w:id="163"/>
      <w:bookmarkEnd w:id="155"/>
      <w:r>
        <w:t>Annex B</w:t>
      </w:r>
      <w:bookmarkEnd w:id="156"/>
      <w:bookmarkEnd w:id="157"/>
      <w:bookmarkEnd w:id="158"/>
      <w:bookmarkEnd w:id="159"/>
      <w:bookmarkEnd w:id="160"/>
      <w:bookmarkEnd w:id="161"/>
      <w:bookmarkEnd w:id="162"/>
      <w:r w:rsidR="00F2473C">
        <w:t xml:space="preserve"> – Research Protocol</w:t>
      </w:r>
      <w:bookmarkEnd w:id="163"/>
      <w:r w:rsidR="00F2473C">
        <w:t xml:space="preserve"> </w:t>
      </w:r>
    </w:p>
    <w:p w:rsidRPr="00FD4557" w:rsidR="00FD4557" w:rsidP="00AE2428" w:rsidRDefault="003008B2" w14:paraId="4BECA484" w14:textId="3F4424FD">
      <w:r>
        <w:t>Full search protocol for this research can be found embedded below:</w:t>
      </w:r>
    </w:p>
    <w:p w:rsidRPr="00F2473C" w:rsidR="00B27618" w:rsidP="00F2473C" w:rsidRDefault="00F74ACF" w14:paraId="7E4D4DAC" w14:textId="77777777">
      <w:pPr>
        <w:rPr>
          <w:b/>
        </w:rPr>
      </w:pPr>
      <w:bookmarkStart w:name="_Toc139558342" w:id="164"/>
      <w:bookmarkStart w:name="_Toc139619180" w:id="165"/>
      <w:r w:rsidRPr="00F2473C">
        <w:rPr>
          <w:b/>
        </w:rPr>
        <w:t>Protocol for searching, screening, and reviewing the literature</w:t>
      </w:r>
      <w:bookmarkEnd w:id="164"/>
      <w:bookmarkEnd w:id="165"/>
    </w:p>
    <w:p w:rsidRPr="00F2473C" w:rsidR="00F74ACF" w:rsidP="00F2473C" w:rsidRDefault="00F74ACF" w14:paraId="7F2179FD" w14:textId="20808A7B">
      <w:pPr>
        <w:rPr>
          <w:b/>
        </w:rPr>
      </w:pPr>
      <w:r w:rsidRPr="00F2473C">
        <w:rPr>
          <w:b/>
        </w:rPr>
        <w:t>Stage 1. Database searches:</w:t>
      </w:r>
    </w:p>
    <w:p w:rsidRPr="00F74ACF" w:rsidR="00F74ACF" w:rsidP="00F2473C" w:rsidRDefault="00F74ACF" w14:paraId="4251E1A9" w14:textId="77777777">
      <w:pPr>
        <w:rPr>
          <w:rFonts w:eastAsia="Times New Roman" w:cs="Arial"/>
          <w:szCs w:val="24"/>
        </w:rPr>
      </w:pPr>
      <w:bookmarkStart w:name="_Toc139619181" w:id="166"/>
      <w:r w:rsidRPr="00F74ACF">
        <w:rPr>
          <w:rFonts w:eastAsia="Times New Roman" w:cs="Arial"/>
          <w:szCs w:val="24"/>
        </w:rPr>
        <w:t>We will be reviewing relevant literature from two types of sources: published studies in scientific journals and grey literature from government and other public agency sources. Rachael Posaner (University of Birmingham, Knowledge, and Evidence Services (KES)) will conduct the search for published/academic literature via the University of Birmingham Library Services based on agreed search terms. RSM will search the grey literature and co-ordinate the call for evidence. To structure our search strategy and optimise the time available, we will use the PRESS checklist.</w:t>
      </w:r>
      <w:r w:rsidRPr="000F7C6A">
        <w:rPr>
          <w:rFonts w:eastAsia="Times New Roman" w:cs="Arial"/>
          <w:szCs w:val="24"/>
          <w:vertAlign w:val="superscript"/>
        </w:rPr>
        <w:footnoteReference w:id="2"/>
      </w:r>
      <w:bookmarkEnd w:id="166"/>
    </w:p>
    <w:p w:rsidRPr="00F74ACF" w:rsidR="00F74ACF" w:rsidP="00B27618" w:rsidRDefault="00F74ACF" w14:paraId="5A4AE8E2" w14:textId="77777777">
      <w:pPr>
        <w:spacing w:before="120" w:after="120"/>
        <w:rPr>
          <w:rFonts w:eastAsia="Arial" w:cs="Arial"/>
          <w:szCs w:val="24"/>
        </w:rPr>
      </w:pPr>
      <w:r w:rsidRPr="00F74ACF">
        <w:rPr>
          <w:rFonts w:eastAsia="Arial" w:cs="Arial"/>
          <w:szCs w:val="24"/>
        </w:rPr>
        <w:t xml:space="preserve">Alongside the formal search strategy, our advisor Professor Rosalind Raine (UCL) will be asked to contribute any key sources, including those not yet published, based on their own knowledge and networks. RSM will also issue a call for evidence and ask the CQC expert panel, and our advisor to disseminate this call for evidence. </w:t>
      </w:r>
    </w:p>
    <w:p w:rsidRPr="00F74ACF" w:rsidR="00F74ACF" w:rsidP="00B27618" w:rsidRDefault="00F74ACF" w14:paraId="06D513CD" w14:textId="77777777">
      <w:pPr>
        <w:spacing w:before="120" w:after="240"/>
        <w:rPr>
          <w:rFonts w:eastAsia="Arial" w:cs="Arial"/>
          <w:szCs w:val="24"/>
        </w:rPr>
      </w:pPr>
      <w:r w:rsidRPr="00F74ACF">
        <w:rPr>
          <w:rFonts w:eastAsia="Arial" w:cs="Arial"/>
          <w:szCs w:val="24"/>
        </w:rPr>
        <w:t>We propose to use the following search criteria and databases, but these may need to be further refined depending on the number of ‘hits’ returned from the database searches.</w:t>
      </w:r>
    </w:p>
    <w:tbl>
      <w:tblPr>
        <w:tblStyle w:val="PlainTable1"/>
        <w:tblW w:w="10194" w:type="dxa"/>
        <w:tblLook w:val="0020" w:firstRow="1" w:lastRow="0" w:firstColumn="0" w:lastColumn="0" w:noHBand="0" w:noVBand="0"/>
      </w:tblPr>
      <w:tblGrid>
        <w:gridCol w:w="1430"/>
        <w:gridCol w:w="8764"/>
      </w:tblGrid>
      <w:tr w:rsidRPr="00F74ACF" w:rsidR="00B27618" w:rsidTr="00B27618" w14:paraId="44B90B1F" w14:textId="77777777">
        <w:trPr>
          <w:cnfStyle w:val="100000000000" w:firstRow="1" w:lastRow="0" w:firstColumn="0" w:lastColumn="0" w:oddVBand="0" w:evenVBand="0" w:oddHBand="0" w:evenHBand="0" w:firstRowFirstColumn="0" w:firstRowLastColumn="0" w:lastRowFirstColumn="0" w:lastRowLastColumn="0"/>
          <w:trHeight w:val="397"/>
          <w:tblHeader/>
        </w:trPr>
        <w:tc>
          <w:tcPr>
            <w:cnfStyle w:val="000010000000" w:firstRow="0" w:lastRow="0" w:firstColumn="0" w:lastColumn="0" w:oddVBand="1" w:evenVBand="0" w:oddHBand="0" w:evenHBand="0" w:firstRowFirstColumn="0" w:firstRowLastColumn="0" w:lastRowFirstColumn="0" w:lastRowLastColumn="0"/>
            <w:tcW w:w="10194" w:type="dxa"/>
            <w:gridSpan w:val="2"/>
          </w:tcPr>
          <w:p w:rsidRPr="00F74ACF" w:rsidR="00F74ACF" w:rsidP="00B27618" w:rsidRDefault="00F74ACF" w14:paraId="37654FF4" w14:textId="77777777">
            <w:pPr>
              <w:spacing w:before="60" w:after="0"/>
              <w:rPr>
                <w:rFonts w:eastAsia="Times New Roman" w:cs="Arial"/>
                <w:szCs w:val="24"/>
                <w:lang w:val="en-US"/>
              </w:rPr>
            </w:pPr>
            <w:r w:rsidRPr="00F74ACF">
              <w:rPr>
                <w:rFonts w:eastAsia="Times New Roman" w:cs="Arial"/>
                <w:szCs w:val="24"/>
                <w:lang w:val="en-US"/>
              </w:rPr>
              <w:t>Search terms and inclusion criteria</w:t>
            </w:r>
          </w:p>
        </w:tc>
      </w:tr>
      <w:tr w:rsidRPr="00F74ACF" w:rsidR="00B27618" w:rsidTr="00B27618" w14:paraId="352B2553" w14:textId="77777777">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1271" w:type="dxa"/>
          </w:tcPr>
          <w:p w:rsidRPr="00F74ACF" w:rsidR="00F74ACF" w:rsidP="00B27618" w:rsidRDefault="00F74ACF" w14:paraId="09EC890B" w14:textId="77777777">
            <w:pPr>
              <w:spacing w:before="60" w:after="0"/>
              <w:rPr>
                <w:rFonts w:eastAsia="Times New Roman" w:cs="Arial"/>
                <w:b/>
                <w:bCs/>
                <w:szCs w:val="24"/>
                <w:lang w:val="en-US"/>
              </w:rPr>
            </w:pPr>
            <w:r w:rsidRPr="00F74ACF">
              <w:rPr>
                <w:rFonts w:eastAsia="Times New Roman" w:cs="Arial"/>
                <w:b/>
                <w:bCs/>
                <w:szCs w:val="24"/>
                <w:lang w:val="en-US"/>
              </w:rPr>
              <w:t>Language:</w:t>
            </w:r>
          </w:p>
        </w:tc>
        <w:tc>
          <w:tcPr>
            <w:tcW w:w="8923" w:type="dxa"/>
          </w:tcPr>
          <w:p w:rsidRPr="00F74ACF" w:rsidR="00F74ACF" w:rsidP="00B27618" w:rsidRDefault="00F74ACF" w14:paraId="52522A3C" w14:textId="77777777">
            <w:pPr>
              <w:spacing w:before="60" w:after="0"/>
              <w:cnfStyle w:val="000000100000" w:firstRow="0" w:lastRow="0" w:firstColumn="0" w:lastColumn="0" w:oddVBand="0" w:evenVBand="0" w:oddHBand="1" w:evenHBand="0" w:firstRowFirstColumn="0" w:firstRowLastColumn="0" w:lastRowFirstColumn="0" w:lastRowLastColumn="0"/>
              <w:rPr>
                <w:rFonts w:eastAsia="Times New Roman" w:cs="Arial"/>
                <w:szCs w:val="24"/>
                <w:lang w:val="en-US"/>
              </w:rPr>
            </w:pPr>
            <w:r w:rsidRPr="00F74ACF">
              <w:rPr>
                <w:rFonts w:eastAsia="Times New Roman" w:cs="Arial"/>
                <w:szCs w:val="24"/>
                <w:lang w:val="en-US"/>
              </w:rPr>
              <w:t>English or accredited translations</w:t>
            </w:r>
          </w:p>
        </w:tc>
      </w:tr>
      <w:tr w:rsidRPr="00F74ACF" w:rsidR="00B27618" w:rsidTr="00B27618" w14:paraId="53E5F36A" w14:textId="77777777">
        <w:trPr>
          <w:trHeight w:val="298"/>
        </w:trPr>
        <w:tc>
          <w:tcPr>
            <w:cnfStyle w:val="000010000000" w:firstRow="0" w:lastRow="0" w:firstColumn="0" w:lastColumn="0" w:oddVBand="1" w:evenVBand="0" w:oddHBand="0" w:evenHBand="0" w:firstRowFirstColumn="0" w:firstRowLastColumn="0" w:lastRowFirstColumn="0" w:lastRowLastColumn="0"/>
            <w:tcW w:w="1271" w:type="dxa"/>
          </w:tcPr>
          <w:p w:rsidRPr="00F74ACF" w:rsidR="00F74ACF" w:rsidP="00B27618" w:rsidRDefault="00F74ACF" w14:paraId="5343BFB6" w14:textId="77777777">
            <w:pPr>
              <w:spacing w:before="60" w:after="0"/>
              <w:rPr>
                <w:rFonts w:eastAsia="Times New Roman" w:cs="Arial"/>
                <w:b/>
                <w:bCs/>
                <w:szCs w:val="24"/>
                <w:lang w:val="en-US"/>
              </w:rPr>
            </w:pPr>
            <w:r w:rsidRPr="00F74ACF">
              <w:rPr>
                <w:rFonts w:eastAsia="Times New Roman" w:cs="Arial"/>
                <w:b/>
                <w:bCs/>
                <w:szCs w:val="24"/>
                <w:lang w:val="en-US"/>
              </w:rPr>
              <w:t xml:space="preserve">Countries: </w:t>
            </w:r>
          </w:p>
        </w:tc>
        <w:tc>
          <w:tcPr>
            <w:tcW w:w="8923" w:type="dxa"/>
          </w:tcPr>
          <w:p w:rsidRPr="00F74ACF" w:rsidR="00F74ACF" w:rsidP="00B27618" w:rsidRDefault="00F74ACF" w14:paraId="691E8BCC" w14:textId="77777777">
            <w:pPr>
              <w:widowControl w:val="0"/>
              <w:overflowPunct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Arial" w:cs="Arial"/>
                <w:szCs w:val="24"/>
              </w:rPr>
            </w:pPr>
            <w:r w:rsidRPr="00F74ACF">
              <w:rPr>
                <w:rFonts w:eastAsia="Times New Roman" w:cs="Arial"/>
                <w:szCs w:val="24"/>
                <w:lang w:val="en-US"/>
              </w:rPr>
              <w:t>Countries of the United Kingdom and Ireland</w:t>
            </w:r>
          </w:p>
        </w:tc>
      </w:tr>
      <w:tr w:rsidRPr="00F74ACF" w:rsidR="00B27618" w:rsidTr="00B27618" w14:paraId="2D6FF4C8" w14:textId="77777777">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1271" w:type="dxa"/>
          </w:tcPr>
          <w:p w:rsidRPr="00F74ACF" w:rsidR="00F74ACF" w:rsidP="00B27618" w:rsidRDefault="00F74ACF" w14:paraId="37B80F56" w14:textId="77777777">
            <w:pPr>
              <w:spacing w:before="60" w:after="0"/>
              <w:rPr>
                <w:rFonts w:eastAsia="Times New Roman" w:cs="Arial"/>
                <w:b/>
                <w:bCs/>
                <w:szCs w:val="24"/>
                <w:lang w:val="en-US"/>
              </w:rPr>
            </w:pPr>
            <w:r w:rsidRPr="00F74ACF">
              <w:rPr>
                <w:rFonts w:eastAsia="Times New Roman" w:cs="Arial"/>
                <w:b/>
                <w:bCs/>
                <w:szCs w:val="24"/>
                <w:lang w:val="en-US"/>
              </w:rPr>
              <w:t>Time period:</w:t>
            </w:r>
          </w:p>
        </w:tc>
        <w:tc>
          <w:tcPr>
            <w:tcW w:w="8923" w:type="dxa"/>
          </w:tcPr>
          <w:p w:rsidRPr="00F74ACF" w:rsidR="00F74ACF" w:rsidP="00B27618" w:rsidRDefault="00F74ACF" w14:paraId="2B312A50" w14:textId="77777777">
            <w:pPr>
              <w:spacing w:before="60" w:after="0"/>
              <w:cnfStyle w:val="000000100000" w:firstRow="0" w:lastRow="0" w:firstColumn="0" w:lastColumn="0" w:oddVBand="0" w:evenVBand="0" w:oddHBand="1" w:evenHBand="0" w:firstRowFirstColumn="0" w:firstRowLastColumn="0" w:lastRowFirstColumn="0" w:lastRowLastColumn="0"/>
              <w:rPr>
                <w:rFonts w:eastAsia="Times New Roman" w:cs="Arial"/>
                <w:szCs w:val="24"/>
                <w:lang w:val="en-US"/>
              </w:rPr>
            </w:pPr>
            <w:r w:rsidRPr="00F74ACF">
              <w:rPr>
                <w:rFonts w:eastAsia="Times New Roman" w:cs="Arial"/>
                <w:szCs w:val="24"/>
                <w:lang w:val="en-US"/>
              </w:rPr>
              <w:t xml:space="preserve">January 2010 - Present </w:t>
            </w:r>
          </w:p>
          <w:p w:rsidRPr="00F74ACF" w:rsidR="00F74ACF" w:rsidP="00B27618" w:rsidRDefault="00F74ACF" w14:paraId="18311143" w14:textId="77777777">
            <w:pPr>
              <w:spacing w:before="60" w:after="0"/>
              <w:cnfStyle w:val="000000100000" w:firstRow="0" w:lastRow="0" w:firstColumn="0" w:lastColumn="0" w:oddVBand="0" w:evenVBand="0" w:oddHBand="1" w:evenHBand="0" w:firstRowFirstColumn="0" w:firstRowLastColumn="0" w:lastRowFirstColumn="0" w:lastRowLastColumn="0"/>
              <w:rPr>
                <w:rFonts w:eastAsia="Times New Roman" w:cs="Arial"/>
                <w:szCs w:val="24"/>
                <w:lang w:val="en-US"/>
              </w:rPr>
            </w:pPr>
            <w:r w:rsidRPr="00F74ACF">
              <w:rPr>
                <w:rFonts w:eastAsia="Times New Roman" w:cs="Arial"/>
                <w:szCs w:val="24"/>
                <w:lang w:val="en-US"/>
              </w:rPr>
              <w:t>(The above depends on the number of results up to a maximum 750 titles)</w:t>
            </w:r>
          </w:p>
        </w:tc>
      </w:tr>
      <w:tr w:rsidRPr="00F74ACF" w:rsidR="00B27618" w:rsidTr="00B27618" w14:paraId="2F1C4FF5" w14:textId="77777777">
        <w:trPr>
          <w:trHeight w:val="298"/>
        </w:trPr>
        <w:tc>
          <w:tcPr>
            <w:cnfStyle w:val="000010000000" w:firstRow="0" w:lastRow="0" w:firstColumn="0" w:lastColumn="0" w:oddVBand="1" w:evenVBand="0" w:oddHBand="0" w:evenHBand="0" w:firstRowFirstColumn="0" w:firstRowLastColumn="0" w:lastRowFirstColumn="0" w:lastRowLastColumn="0"/>
            <w:tcW w:w="1271" w:type="dxa"/>
          </w:tcPr>
          <w:p w:rsidRPr="00F74ACF" w:rsidR="00F74ACF" w:rsidP="00B27618" w:rsidRDefault="00F74ACF" w14:paraId="3B0E7466" w14:textId="77777777">
            <w:pPr>
              <w:spacing w:before="60" w:after="0"/>
              <w:rPr>
                <w:rFonts w:eastAsia="Times New Roman" w:cs="Arial"/>
                <w:b/>
                <w:bCs/>
                <w:szCs w:val="24"/>
                <w:lang w:val="en-US"/>
              </w:rPr>
            </w:pPr>
            <w:r w:rsidRPr="00F74ACF">
              <w:rPr>
                <w:rFonts w:eastAsia="Times New Roman" w:cs="Arial"/>
                <w:b/>
                <w:bCs/>
                <w:szCs w:val="24"/>
                <w:lang w:val="en-US"/>
              </w:rPr>
              <w:t>Search strings:</w:t>
            </w:r>
          </w:p>
        </w:tc>
        <w:tc>
          <w:tcPr>
            <w:tcW w:w="8923" w:type="dxa"/>
          </w:tcPr>
          <w:p w:rsidRPr="00F74ACF" w:rsidR="00F74ACF" w:rsidP="00B27618" w:rsidRDefault="00F74ACF" w14:paraId="34943B6E" w14:textId="77777777">
            <w:pPr>
              <w:spacing w:before="60" w:after="120"/>
              <w:cnfStyle w:val="000000000000" w:firstRow="0" w:lastRow="0" w:firstColumn="0" w:lastColumn="0" w:oddVBand="0" w:evenVBand="0" w:oddHBand="0" w:evenHBand="0" w:firstRowFirstColumn="0" w:firstRowLastColumn="0" w:lastRowFirstColumn="0" w:lastRowLastColumn="0"/>
              <w:rPr>
                <w:rFonts w:eastAsia="Times New Roman" w:cs="Arial"/>
                <w:szCs w:val="24"/>
                <w:lang w:val="en-US"/>
              </w:rPr>
            </w:pPr>
            <w:r w:rsidRPr="00F74ACF">
              <w:rPr>
                <w:rFonts w:eastAsia="Times New Roman" w:cs="Arial"/>
                <w:b/>
                <w:bCs/>
                <w:szCs w:val="24"/>
                <w:lang w:val="en-US"/>
              </w:rPr>
              <w:t>[Terms for health inequalities:]</w:t>
            </w:r>
            <w:r w:rsidRPr="00F74ACF">
              <w:rPr>
                <w:rFonts w:eastAsia="Times New Roman" w:cs="Arial"/>
                <w:szCs w:val="24"/>
                <w:lang w:val="en-US"/>
              </w:rPr>
              <w:t xml:space="preserve"> (Health inequality) OR (Inequality) OR (Disparity) OR (Unequal) OR (Exclusion) OR (Inequity) OR (Prejudice) OR (</w:t>
            </w:r>
            <w:r w:rsidRPr="00F2473C">
              <w:rPr>
                <w:rFonts w:eastAsia="Times New Roman" w:cs="Arial"/>
                <w:szCs w:val="24"/>
              </w:rPr>
              <w:t>Marginalised</w:t>
            </w:r>
            <w:r w:rsidRPr="00F74ACF">
              <w:rPr>
                <w:rFonts w:eastAsia="Times New Roman" w:cs="Arial"/>
                <w:szCs w:val="24"/>
                <w:lang w:val="en-US"/>
              </w:rPr>
              <w:t xml:space="preserve"> communities) OR (Discrimination) OR (Indirect discrimination) OR (Bias) OR (Protected characteristic) OR (Wider determinants of health) OR (Social Determinants of health) </w:t>
            </w:r>
          </w:p>
          <w:p w:rsidRPr="00F74ACF" w:rsidR="00F74ACF" w:rsidP="00B27618" w:rsidRDefault="00F74ACF" w14:paraId="35B8C4A7" w14:textId="77777777">
            <w:pPr>
              <w:spacing w:before="60" w:after="120"/>
              <w:cnfStyle w:val="000000000000" w:firstRow="0" w:lastRow="0" w:firstColumn="0" w:lastColumn="0" w:oddVBand="0" w:evenVBand="0" w:oddHBand="0" w:evenHBand="0" w:firstRowFirstColumn="0" w:firstRowLastColumn="0" w:lastRowFirstColumn="0" w:lastRowLastColumn="0"/>
              <w:rPr>
                <w:rFonts w:eastAsia="Times New Roman" w:cs="Arial"/>
                <w:szCs w:val="24"/>
                <w:lang w:val="en-US"/>
              </w:rPr>
            </w:pPr>
            <w:r w:rsidRPr="00F74ACF">
              <w:rPr>
                <w:rFonts w:eastAsia="Times New Roman" w:cs="Arial"/>
                <w:szCs w:val="24"/>
                <w:lang w:val="en-US"/>
              </w:rPr>
              <w:t xml:space="preserve">OR </w:t>
            </w:r>
          </w:p>
          <w:p w:rsidRPr="00F74ACF" w:rsidR="00F74ACF" w:rsidP="00B27618" w:rsidRDefault="00F74ACF" w14:paraId="0C5CFE68" w14:textId="77777777">
            <w:pPr>
              <w:spacing w:before="60" w:after="120"/>
              <w:cnfStyle w:val="000000000000" w:firstRow="0" w:lastRow="0" w:firstColumn="0" w:lastColumn="0" w:oddVBand="0" w:evenVBand="0" w:oddHBand="0" w:evenHBand="0" w:firstRowFirstColumn="0" w:firstRowLastColumn="0" w:lastRowFirstColumn="0" w:lastRowLastColumn="0"/>
              <w:rPr>
                <w:rFonts w:eastAsia="Times New Roman" w:cs="Arial"/>
                <w:szCs w:val="24"/>
                <w:lang w:val="en-US"/>
              </w:rPr>
            </w:pPr>
            <w:r w:rsidRPr="00F74ACF">
              <w:rPr>
                <w:rFonts w:eastAsia="Times New Roman" w:cs="Arial"/>
                <w:b/>
                <w:bCs/>
                <w:szCs w:val="24"/>
                <w:lang w:val="en-US"/>
              </w:rPr>
              <w:t>[Terms for inequality characteristics:]</w:t>
            </w:r>
            <w:r w:rsidRPr="00F74ACF">
              <w:rPr>
                <w:rFonts w:eastAsia="Times New Roman" w:cs="Arial"/>
                <w:szCs w:val="24"/>
                <w:lang w:val="en-US"/>
              </w:rPr>
              <w:t xml:space="preserve"> (Ethnicity) OR (ethnic) OR (Race) OR (Racism) OR (BAME) OR (BME) OR (Socio-economic status) OR (Socio-economic) OR (Deprivation) OR (IMD) OR (Poverty) OR (Disability) OR (Disabled) OR (Long term condition) OR (Mental health) OR (Learning disability) OR (Sexual orientation) OR (Lesbian) OR (Gay) OR (Bisexual) OR (LGB) OR (LGBT) OR (LGBT+) OR (Gender reassignment) OR (Transgender) OR (Gender identity) OR (Religion) OR (Belief) OR (Religious) OR (Faith)</w:t>
            </w:r>
          </w:p>
          <w:p w:rsidRPr="00F74ACF" w:rsidR="00F74ACF" w:rsidP="00B27618" w:rsidRDefault="00F74ACF" w14:paraId="6698970C" w14:textId="77777777">
            <w:pPr>
              <w:spacing w:before="60" w:after="120"/>
              <w:cnfStyle w:val="000000000000" w:firstRow="0" w:lastRow="0" w:firstColumn="0" w:lastColumn="0" w:oddVBand="0" w:evenVBand="0" w:oddHBand="0" w:evenHBand="0" w:firstRowFirstColumn="0" w:firstRowLastColumn="0" w:lastRowFirstColumn="0" w:lastRowLastColumn="0"/>
              <w:rPr>
                <w:rFonts w:eastAsia="Times New Roman" w:cs="Arial"/>
                <w:szCs w:val="24"/>
                <w:lang w:val="en-US"/>
              </w:rPr>
            </w:pPr>
            <w:r w:rsidRPr="00F74ACF">
              <w:rPr>
                <w:rFonts w:eastAsia="Times New Roman" w:cs="Arial"/>
                <w:szCs w:val="24"/>
                <w:lang w:val="en-US"/>
              </w:rPr>
              <w:t>AND</w:t>
            </w:r>
          </w:p>
          <w:p w:rsidRPr="00F74ACF" w:rsidR="00F74ACF" w:rsidP="00B27618" w:rsidRDefault="00F74ACF" w14:paraId="06E79B34" w14:textId="77777777">
            <w:pPr>
              <w:spacing w:before="60" w:after="120"/>
              <w:cnfStyle w:val="000000000000" w:firstRow="0" w:lastRow="0" w:firstColumn="0" w:lastColumn="0" w:oddVBand="0" w:evenVBand="0" w:oddHBand="0" w:evenHBand="0" w:firstRowFirstColumn="0" w:firstRowLastColumn="0" w:lastRowFirstColumn="0" w:lastRowLastColumn="0"/>
              <w:rPr>
                <w:rFonts w:eastAsia="Times New Roman" w:cs="Arial"/>
                <w:szCs w:val="24"/>
                <w:lang w:val="en-US"/>
              </w:rPr>
            </w:pPr>
            <w:r w:rsidRPr="00F74ACF">
              <w:rPr>
                <w:rFonts w:eastAsia="Times New Roman" w:cs="Arial"/>
                <w:b/>
                <w:bCs/>
                <w:szCs w:val="24"/>
                <w:lang w:val="en-US"/>
              </w:rPr>
              <w:t>[Terms for intervention approaches:]</w:t>
            </w:r>
            <w:r w:rsidRPr="00F74ACF">
              <w:rPr>
                <w:rFonts w:eastAsia="Times New Roman" w:cs="Arial"/>
                <w:szCs w:val="24"/>
                <w:lang w:val="en-US"/>
              </w:rPr>
              <w:t xml:space="preserve"> (interventions) OR (intervention approaches) OR (prevention) OR (prevention approaches) OR (addressing) OR (Good practice) OR (Person-centred) OR (Improvement) OR (Community-based approach) OR Co-produced approach) OR (Community engagement) NOT (Clinical interventions) NOT (Medical interventions)</w:t>
            </w:r>
          </w:p>
          <w:p w:rsidRPr="00F74ACF" w:rsidR="00F74ACF" w:rsidP="00B27618" w:rsidRDefault="00F74ACF" w14:paraId="7E39C652" w14:textId="77777777">
            <w:pPr>
              <w:spacing w:before="60" w:after="120"/>
              <w:cnfStyle w:val="000000000000" w:firstRow="0" w:lastRow="0" w:firstColumn="0" w:lastColumn="0" w:oddVBand="0" w:evenVBand="0" w:oddHBand="0" w:evenHBand="0" w:firstRowFirstColumn="0" w:firstRowLastColumn="0" w:lastRowFirstColumn="0" w:lastRowLastColumn="0"/>
              <w:rPr>
                <w:rFonts w:eastAsia="Times New Roman" w:cs="Arial"/>
                <w:szCs w:val="24"/>
                <w:lang w:val="en-US"/>
              </w:rPr>
            </w:pPr>
            <w:r w:rsidRPr="00F74ACF">
              <w:rPr>
                <w:rFonts w:eastAsia="Times New Roman" w:cs="Arial"/>
                <w:szCs w:val="24"/>
                <w:lang w:val="en-US"/>
              </w:rPr>
              <w:t xml:space="preserve">AND </w:t>
            </w:r>
          </w:p>
          <w:p w:rsidRPr="00F74ACF" w:rsidR="00F74ACF" w:rsidP="00B27618" w:rsidRDefault="00F74ACF" w14:paraId="097A2CFB" w14:textId="77777777">
            <w:pPr>
              <w:spacing w:before="60" w:after="120"/>
              <w:cnfStyle w:val="000000000000" w:firstRow="0" w:lastRow="0" w:firstColumn="0" w:lastColumn="0" w:oddVBand="0" w:evenVBand="0" w:oddHBand="0" w:evenHBand="0" w:firstRowFirstColumn="0" w:firstRowLastColumn="0" w:lastRowFirstColumn="0" w:lastRowLastColumn="0"/>
              <w:rPr>
                <w:rFonts w:eastAsia="Times New Roman" w:cs="Arial"/>
                <w:szCs w:val="24"/>
                <w:lang w:val="en-US"/>
              </w:rPr>
            </w:pPr>
            <w:r w:rsidRPr="00F74ACF">
              <w:rPr>
                <w:rFonts w:eastAsia="Times New Roman" w:cs="Arial"/>
                <w:b/>
                <w:bCs/>
                <w:szCs w:val="24"/>
                <w:lang w:val="en-US"/>
              </w:rPr>
              <w:t>[Terms for local area:]</w:t>
            </w:r>
            <w:r w:rsidRPr="00F74ACF">
              <w:rPr>
                <w:rFonts w:eastAsia="Times New Roman" w:cs="Arial"/>
                <w:szCs w:val="24"/>
                <w:lang w:val="en-US"/>
              </w:rPr>
              <w:t xml:space="preserve"> (local areas) OR (local systems) OR (local health systems) OR (local health and care system) OR (Integrated Care System) OR (ICS) OR (Integrated Care Partnership) OR (ICP) OR (Sustainability and transformation partnerships) OR (STP) OR (place-based) OR (local communities) OR (local populations) OR (Health Action Zone) OR (HAZ) OR (Strategic Health Authority) OR (SHA) OR (Clinical Commissioning Group) OR (CCG) OR (Primary Care Trust) OR (PCT) OR (Integrated Care Board) OR (ICB)</w:t>
            </w:r>
          </w:p>
        </w:tc>
      </w:tr>
      <w:tr w:rsidRPr="00F74ACF" w:rsidR="00B27618" w:rsidTr="00B27618" w14:paraId="28B3A890" w14:textId="77777777">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1271" w:type="dxa"/>
          </w:tcPr>
          <w:p w:rsidRPr="00F74ACF" w:rsidR="00F74ACF" w:rsidP="00B27618" w:rsidRDefault="00F74ACF" w14:paraId="6C343B60" w14:textId="77777777">
            <w:pPr>
              <w:spacing w:before="60" w:after="0"/>
              <w:rPr>
                <w:rFonts w:eastAsia="Times New Roman" w:cs="Arial"/>
                <w:b/>
                <w:bCs/>
                <w:szCs w:val="24"/>
                <w:lang w:val="en-US"/>
              </w:rPr>
            </w:pPr>
            <w:r w:rsidRPr="00F74ACF">
              <w:rPr>
                <w:rFonts w:eastAsia="Times New Roman" w:cs="Arial"/>
                <w:b/>
                <w:bCs/>
                <w:szCs w:val="24"/>
                <w:lang w:val="en-US"/>
              </w:rPr>
              <w:t>Databases / sources:</w:t>
            </w:r>
          </w:p>
        </w:tc>
        <w:tc>
          <w:tcPr>
            <w:tcW w:w="8923" w:type="dxa"/>
          </w:tcPr>
          <w:p w:rsidRPr="00F74ACF" w:rsidR="00F74ACF" w:rsidP="00B27618" w:rsidRDefault="00F74ACF" w14:paraId="2AD6B5C2" w14:textId="77777777">
            <w:pPr>
              <w:spacing w:before="60" w:after="0"/>
              <w:cnfStyle w:val="000000100000" w:firstRow="0" w:lastRow="0" w:firstColumn="0" w:lastColumn="0" w:oddVBand="0" w:evenVBand="0" w:oddHBand="1" w:evenHBand="0" w:firstRowFirstColumn="0" w:firstRowLastColumn="0" w:lastRowFirstColumn="0" w:lastRowLastColumn="0"/>
              <w:rPr>
                <w:rFonts w:eastAsia="Times New Roman" w:cs="Arial"/>
                <w:szCs w:val="24"/>
                <w:lang w:val="en-US"/>
              </w:rPr>
            </w:pPr>
            <w:r w:rsidRPr="00F74ACF">
              <w:rPr>
                <w:rFonts w:eastAsia="Times New Roman" w:cs="Arial"/>
                <w:b/>
                <w:bCs/>
                <w:szCs w:val="24"/>
                <w:lang w:val="en-US"/>
              </w:rPr>
              <w:t>Published/Academic Literature</w:t>
            </w:r>
            <w:r w:rsidRPr="00F74ACF">
              <w:rPr>
                <w:rFonts w:eastAsia="Times New Roman" w:cs="Arial"/>
                <w:szCs w:val="24"/>
                <w:lang w:val="en-US"/>
              </w:rPr>
              <w:t>:</w:t>
            </w:r>
          </w:p>
          <w:p w:rsidRPr="00F74ACF" w:rsidR="00F74ACF" w:rsidP="00B27618" w:rsidRDefault="00F74ACF" w14:paraId="0A078BE7" w14:textId="77777777">
            <w:pPr>
              <w:spacing w:after="120"/>
              <w:cnfStyle w:val="000000100000" w:firstRow="0" w:lastRow="0" w:firstColumn="0" w:lastColumn="0" w:oddVBand="0" w:evenVBand="0" w:oddHBand="1" w:evenHBand="0" w:firstRowFirstColumn="0" w:firstRowLastColumn="0" w:lastRowFirstColumn="0" w:lastRowLastColumn="0"/>
              <w:rPr>
                <w:rFonts w:eastAsia="Arial" w:cs="Arial"/>
                <w:szCs w:val="24"/>
              </w:rPr>
            </w:pPr>
            <w:r w:rsidRPr="00F74ACF">
              <w:rPr>
                <w:rFonts w:eastAsia="Arial" w:cs="Arial"/>
                <w:szCs w:val="24"/>
              </w:rPr>
              <w:t>Social Science Citation Index (Web of Science), ProQuest, Embase, Medline, Scopus</w:t>
            </w:r>
          </w:p>
          <w:p w:rsidRPr="00F74ACF" w:rsidR="00F74ACF" w:rsidP="00B27618" w:rsidRDefault="00F74ACF" w14:paraId="5E8EC7C7" w14:textId="77777777">
            <w:pPr>
              <w:spacing w:after="0"/>
              <w:cnfStyle w:val="000000100000" w:firstRow="0" w:lastRow="0" w:firstColumn="0" w:lastColumn="0" w:oddVBand="0" w:evenVBand="0" w:oddHBand="1" w:evenHBand="0" w:firstRowFirstColumn="0" w:firstRowLastColumn="0" w:lastRowFirstColumn="0" w:lastRowLastColumn="0"/>
              <w:rPr>
                <w:rFonts w:eastAsia="Times New Roman" w:cs="Arial"/>
                <w:b/>
                <w:bCs/>
                <w:szCs w:val="24"/>
                <w:lang w:val="en-US"/>
              </w:rPr>
            </w:pPr>
            <w:r w:rsidRPr="00F74ACF">
              <w:rPr>
                <w:rFonts w:eastAsia="Times New Roman" w:cs="Arial"/>
                <w:b/>
                <w:bCs/>
                <w:szCs w:val="24"/>
                <w:lang w:val="en-US"/>
              </w:rPr>
              <w:t>Grey Literature:</w:t>
            </w:r>
          </w:p>
          <w:p w:rsidRPr="00F74ACF" w:rsidR="00F74ACF" w:rsidP="00AF10D4" w:rsidRDefault="00F74ACF" w14:paraId="2692F33D" w14:textId="77777777">
            <w:pPr>
              <w:numPr>
                <w:ilvl w:val="0"/>
                <w:numId w:val="12"/>
              </w:numPr>
              <w:spacing w:before="60" w:after="0"/>
              <w:contextualSpacing/>
              <w:cnfStyle w:val="000000100000" w:firstRow="0" w:lastRow="0" w:firstColumn="0" w:lastColumn="0" w:oddVBand="0" w:evenVBand="0" w:oddHBand="1" w:evenHBand="0" w:firstRowFirstColumn="0" w:firstRowLastColumn="0" w:lastRowFirstColumn="0" w:lastRowLastColumn="0"/>
              <w:rPr>
                <w:rFonts w:eastAsia="Times New Roman" w:cs="Arial"/>
                <w:szCs w:val="24"/>
                <w:lang w:val="en-US"/>
              </w:rPr>
            </w:pPr>
            <w:r w:rsidRPr="00F74ACF">
              <w:rPr>
                <w:rFonts w:eastAsia="Times New Roman" w:cs="Arial"/>
                <w:szCs w:val="24"/>
                <w:lang w:val="en-US"/>
              </w:rPr>
              <w:t>International sources (eg WHO).</w:t>
            </w:r>
          </w:p>
          <w:p w:rsidRPr="00F74ACF" w:rsidR="00F74ACF" w:rsidP="00AF10D4" w:rsidRDefault="00F74ACF" w14:paraId="6E8A2BBF" w14:textId="155F47C9">
            <w:pPr>
              <w:numPr>
                <w:ilvl w:val="0"/>
                <w:numId w:val="12"/>
              </w:numPr>
              <w:spacing w:before="60" w:after="0"/>
              <w:contextualSpacing/>
              <w:cnfStyle w:val="000000100000" w:firstRow="0" w:lastRow="0" w:firstColumn="0" w:lastColumn="0" w:oddVBand="0" w:evenVBand="0" w:oddHBand="1" w:evenHBand="0" w:firstRowFirstColumn="0" w:firstRowLastColumn="0" w:lastRowFirstColumn="0" w:lastRowLastColumn="0"/>
              <w:rPr>
                <w:rFonts w:eastAsia="Times New Roman" w:cs="Arial"/>
                <w:szCs w:val="24"/>
                <w:lang w:val="en-US"/>
              </w:rPr>
            </w:pPr>
            <w:r w:rsidRPr="00F74ACF">
              <w:rPr>
                <w:rFonts w:eastAsia="Times New Roman" w:cs="Arial"/>
                <w:szCs w:val="24"/>
                <w:lang w:val="en-US"/>
              </w:rPr>
              <w:t>Think tank organisations (</w:t>
            </w:r>
            <w:r w:rsidR="00672BFB">
              <w:rPr>
                <w:rFonts w:eastAsia="Times New Roman" w:cs="Arial"/>
                <w:szCs w:val="24"/>
                <w:lang w:val="en-US"/>
              </w:rPr>
              <w:t>eg</w:t>
            </w:r>
            <w:r w:rsidRPr="00F74ACF">
              <w:rPr>
                <w:rFonts w:eastAsia="Times New Roman" w:cs="Arial"/>
                <w:szCs w:val="24"/>
                <w:lang w:val="en-US"/>
              </w:rPr>
              <w:t xml:space="preserve"> Nuffield Trust, Health Foundation and the Kings Fund).</w:t>
            </w:r>
          </w:p>
          <w:p w:rsidRPr="00F74ACF" w:rsidR="00F74ACF" w:rsidP="00AF10D4" w:rsidRDefault="00F74ACF" w14:paraId="45BD2E41" w14:textId="6A4E6C94">
            <w:pPr>
              <w:numPr>
                <w:ilvl w:val="0"/>
                <w:numId w:val="12"/>
              </w:numPr>
              <w:spacing w:before="60" w:after="0"/>
              <w:contextualSpacing/>
              <w:cnfStyle w:val="000000100000" w:firstRow="0" w:lastRow="0" w:firstColumn="0" w:lastColumn="0" w:oddVBand="0" w:evenVBand="0" w:oddHBand="1" w:evenHBand="0" w:firstRowFirstColumn="0" w:firstRowLastColumn="0" w:lastRowFirstColumn="0" w:lastRowLastColumn="0"/>
              <w:rPr>
                <w:rFonts w:eastAsia="Times New Roman" w:cs="Arial"/>
                <w:szCs w:val="24"/>
                <w:lang w:val="en-US"/>
              </w:rPr>
            </w:pPr>
            <w:r w:rsidRPr="00F74ACF">
              <w:rPr>
                <w:rFonts w:eastAsia="Times New Roman" w:cs="Arial"/>
                <w:szCs w:val="24"/>
                <w:lang w:val="en-US"/>
              </w:rPr>
              <w:t>Grey literature databases (</w:t>
            </w:r>
            <w:r w:rsidR="00672BFB">
              <w:rPr>
                <w:rFonts w:eastAsia="Times New Roman" w:cs="Arial"/>
                <w:szCs w:val="24"/>
                <w:lang w:val="en-US"/>
              </w:rPr>
              <w:t>eg</w:t>
            </w:r>
            <w:r w:rsidRPr="00F74ACF">
              <w:rPr>
                <w:rFonts w:eastAsia="Times New Roman" w:cs="Arial"/>
                <w:szCs w:val="24"/>
                <w:lang w:val="en-US"/>
              </w:rPr>
              <w:t xml:space="preserve"> OAIster, Social Care Online, Social Science Research Network).</w:t>
            </w:r>
          </w:p>
          <w:p w:rsidRPr="00F74ACF" w:rsidR="00F74ACF" w:rsidP="00AF10D4" w:rsidRDefault="00F74ACF" w14:paraId="05A454CD" w14:textId="77777777">
            <w:pPr>
              <w:numPr>
                <w:ilvl w:val="0"/>
                <w:numId w:val="12"/>
              </w:numPr>
              <w:spacing w:before="60" w:after="0"/>
              <w:contextualSpacing/>
              <w:cnfStyle w:val="000000100000" w:firstRow="0" w:lastRow="0" w:firstColumn="0" w:lastColumn="0" w:oddVBand="0" w:evenVBand="0" w:oddHBand="1" w:evenHBand="0" w:firstRowFirstColumn="0" w:firstRowLastColumn="0" w:lastRowFirstColumn="0" w:lastRowLastColumn="0"/>
              <w:rPr>
                <w:rFonts w:eastAsia="Times New Roman" w:cs="Arial"/>
                <w:szCs w:val="24"/>
                <w:lang w:val="en-US"/>
              </w:rPr>
            </w:pPr>
            <w:r w:rsidRPr="00F74ACF">
              <w:rPr>
                <w:rFonts w:eastAsia="Times New Roman" w:cs="Arial"/>
                <w:szCs w:val="24"/>
                <w:lang w:val="en-US"/>
              </w:rPr>
              <w:t>Public sector/ Arm’s length bodies sources such as Local Government Association, NHS England; National Audit Office, Social Care Institute for Excellence, National Council for Voluntary Orgs.</w:t>
            </w:r>
          </w:p>
          <w:p w:rsidRPr="00F74ACF" w:rsidR="00F74ACF" w:rsidP="00AF10D4" w:rsidRDefault="00F74ACF" w14:paraId="0C55E024" w14:textId="77777777">
            <w:pPr>
              <w:numPr>
                <w:ilvl w:val="0"/>
                <w:numId w:val="12"/>
              </w:numPr>
              <w:spacing w:before="60" w:after="0"/>
              <w:contextualSpacing/>
              <w:cnfStyle w:val="000000100000" w:firstRow="0" w:lastRow="0" w:firstColumn="0" w:lastColumn="0" w:oddVBand="0" w:evenVBand="0" w:oddHBand="1" w:evenHBand="0" w:firstRowFirstColumn="0" w:firstRowLastColumn="0" w:lastRowFirstColumn="0" w:lastRowLastColumn="0"/>
              <w:rPr>
                <w:rFonts w:eastAsia="Times New Roman" w:cs="Arial"/>
                <w:szCs w:val="24"/>
                <w:lang w:val="en-US"/>
              </w:rPr>
            </w:pPr>
            <w:r w:rsidRPr="00F74ACF">
              <w:rPr>
                <w:rFonts w:eastAsia="Times New Roman" w:cs="Arial"/>
                <w:szCs w:val="24"/>
                <w:lang w:val="en-US"/>
              </w:rPr>
              <w:t xml:space="preserve">Google scholar and Google search for published evaluations/ reviews of relevant health and care systems. </w:t>
            </w:r>
          </w:p>
          <w:p w:rsidRPr="00F74ACF" w:rsidR="00F74ACF" w:rsidP="00AF10D4" w:rsidRDefault="00F74ACF" w14:paraId="55848A3C" w14:textId="77777777">
            <w:pPr>
              <w:numPr>
                <w:ilvl w:val="0"/>
                <w:numId w:val="12"/>
              </w:numPr>
              <w:spacing w:before="60" w:after="0"/>
              <w:contextualSpacing/>
              <w:cnfStyle w:val="000000100000" w:firstRow="0" w:lastRow="0" w:firstColumn="0" w:lastColumn="0" w:oddVBand="0" w:evenVBand="0" w:oddHBand="1" w:evenHBand="0" w:firstRowFirstColumn="0" w:firstRowLastColumn="0" w:lastRowFirstColumn="0" w:lastRowLastColumn="0"/>
              <w:rPr>
                <w:rFonts w:eastAsia="Times New Roman" w:cs="Arial"/>
                <w:szCs w:val="24"/>
                <w:lang w:val="en-US"/>
              </w:rPr>
            </w:pPr>
            <w:r w:rsidRPr="00F74ACF">
              <w:rPr>
                <w:rFonts w:eastAsia="Times New Roman" w:cs="Arial"/>
                <w:szCs w:val="24"/>
                <w:lang w:val="en-US"/>
              </w:rPr>
              <w:t>Google search for news/campaigns/media reports.</w:t>
            </w:r>
          </w:p>
          <w:p w:rsidRPr="00F74ACF" w:rsidR="00F74ACF" w:rsidP="00AF10D4" w:rsidRDefault="00F74ACF" w14:paraId="58B812BC" w14:textId="77777777">
            <w:pPr>
              <w:numPr>
                <w:ilvl w:val="0"/>
                <w:numId w:val="12"/>
              </w:numPr>
              <w:spacing w:before="60" w:after="0"/>
              <w:contextualSpacing/>
              <w:cnfStyle w:val="000000100000" w:firstRow="0" w:lastRow="0" w:firstColumn="0" w:lastColumn="0" w:oddVBand="0" w:evenVBand="0" w:oddHBand="1" w:evenHBand="0" w:firstRowFirstColumn="0" w:firstRowLastColumn="0" w:lastRowFirstColumn="0" w:lastRowLastColumn="0"/>
              <w:rPr>
                <w:rFonts w:eastAsia="Times New Roman" w:cs="Arial"/>
                <w:szCs w:val="24"/>
                <w:lang w:val="en-US"/>
              </w:rPr>
            </w:pPr>
            <w:r w:rsidRPr="00F74ACF">
              <w:rPr>
                <w:rFonts w:eastAsia="Times New Roman" w:cs="Arial"/>
                <w:szCs w:val="24"/>
                <w:lang w:val="en-US"/>
              </w:rPr>
              <w:t>Call for evidence amongst CQC stakeholders, academic advisors and expert panel and their networks.</w:t>
            </w:r>
          </w:p>
        </w:tc>
      </w:tr>
    </w:tbl>
    <w:p w:rsidRPr="00F74ACF" w:rsidR="00F74ACF" w:rsidP="00B27618" w:rsidRDefault="00F74ACF" w14:paraId="0F56763B" w14:textId="77777777">
      <w:pPr>
        <w:spacing w:before="240" w:after="120"/>
        <w:textAlignment w:val="baseline"/>
        <w:rPr>
          <w:rFonts w:ascii="Arial Bold" w:hAnsi="Arial Bold" w:eastAsia="Times New Roman" w:cs="Times New Roman"/>
          <w:b/>
          <w:bCs/>
          <w:szCs w:val="24"/>
        </w:rPr>
      </w:pPr>
      <w:r w:rsidRPr="00F74ACF">
        <w:rPr>
          <w:rFonts w:ascii="Arial Bold" w:hAnsi="Arial Bold" w:eastAsia="Times New Roman" w:cs="Times New Roman"/>
          <w:b/>
          <w:bCs/>
          <w:szCs w:val="24"/>
        </w:rPr>
        <w:t>Stage 2. Screening of titles and abstracts:</w:t>
      </w:r>
    </w:p>
    <w:p w:rsidRPr="00F74ACF" w:rsidR="00B27618" w:rsidP="002A45D9" w:rsidRDefault="00F74ACF" w14:paraId="04A917E0" w14:textId="2B44627A">
      <w:r w:rsidRPr="00F74ACF">
        <w:t>We will review the longlist of a maximum c.750 titles of published and unpublished studies, articles and reports (‘grey literature’) pertaining to the research questions on effective systems as specified above. The table below sets out the first level inclusion/ exclusion criteria which we will apply to each title. We anticipate excluding 25% to 50% of titles at this point either because they are not of central relevance to effective systems or they are duplicate studies in our sample.</w:t>
      </w:r>
    </w:p>
    <w:tbl>
      <w:tblPr>
        <w:tblStyle w:val="PlainTable1"/>
        <w:tblW w:w="5020" w:type="pct"/>
        <w:tblLayout w:type="fixed"/>
        <w:tblLook w:val="0020" w:firstRow="1" w:lastRow="0" w:firstColumn="0" w:lastColumn="0" w:noHBand="0" w:noVBand="0"/>
      </w:tblPr>
      <w:tblGrid>
        <w:gridCol w:w="2331"/>
        <w:gridCol w:w="3648"/>
        <w:gridCol w:w="3972"/>
      </w:tblGrid>
      <w:tr w:rsidRPr="00F74ACF" w:rsidR="00B27618" w:rsidTr="00706961" w14:paraId="1B0CFECB" w14:textId="77777777">
        <w:trPr>
          <w:cnfStyle w:val="100000000000" w:firstRow="1" w:lastRow="0" w:firstColumn="0" w:lastColumn="0" w:oddVBand="0" w:evenVBand="0" w:oddHBand="0" w:evenHBand="0" w:firstRowFirstColumn="0" w:firstRowLastColumn="0" w:lastRowFirstColumn="0" w:lastRowLastColumn="0"/>
          <w:trHeight w:val="397"/>
          <w:tblHeader/>
        </w:trPr>
        <w:tc>
          <w:tcPr>
            <w:cnfStyle w:val="000010000000" w:firstRow="0" w:lastRow="0" w:firstColumn="0" w:lastColumn="0" w:oddVBand="1" w:evenVBand="0" w:oddHBand="0" w:evenHBand="0" w:firstRowFirstColumn="0" w:firstRowLastColumn="0" w:lastRowFirstColumn="0" w:lastRowLastColumn="0"/>
            <w:tcW w:w="1171" w:type="pct"/>
          </w:tcPr>
          <w:p w:rsidRPr="00F74ACF" w:rsidR="00F74ACF" w:rsidP="00B27618" w:rsidRDefault="00F74ACF" w14:paraId="689D5291" w14:textId="4471EB39">
            <w:pPr>
              <w:spacing w:before="60" w:after="0"/>
              <w:rPr>
                <w:rFonts w:eastAsia="Times New Roman" w:cs="Arial"/>
                <w:szCs w:val="24"/>
                <w:lang w:val="en-US"/>
              </w:rPr>
            </w:pPr>
            <w:r w:rsidRPr="00F74ACF">
              <w:rPr>
                <w:rFonts w:eastAsia="Times New Roman" w:cs="Arial"/>
                <w:szCs w:val="24"/>
                <w:lang w:val="en-US"/>
              </w:rPr>
              <w:t>1</w:t>
            </w:r>
            <w:r w:rsidRPr="00F74ACF">
              <w:rPr>
                <w:rFonts w:eastAsia="Times New Roman" w:cs="Arial"/>
                <w:szCs w:val="24"/>
                <w:vertAlign w:val="superscript"/>
                <w:lang w:val="en-US"/>
              </w:rPr>
              <w:t>st</w:t>
            </w:r>
            <w:r w:rsidRPr="00F74ACF">
              <w:rPr>
                <w:rFonts w:eastAsia="Times New Roman" w:cs="Arial"/>
                <w:szCs w:val="24"/>
                <w:lang w:val="en-US"/>
              </w:rPr>
              <w:t xml:space="preserve"> level criteria</w:t>
            </w:r>
          </w:p>
        </w:tc>
        <w:tc>
          <w:tcPr>
            <w:tcW w:w="1833" w:type="pct"/>
          </w:tcPr>
          <w:p w:rsidRPr="00F74ACF" w:rsidR="00F74ACF" w:rsidP="00B27618" w:rsidRDefault="00F74ACF" w14:paraId="767563E8" w14:textId="77777777">
            <w:pPr>
              <w:spacing w:before="60" w:after="0"/>
              <w:cnfStyle w:val="100000000000" w:firstRow="1" w:lastRow="0" w:firstColumn="0" w:lastColumn="0" w:oddVBand="0" w:evenVBand="0" w:oddHBand="0" w:evenHBand="0" w:firstRowFirstColumn="0" w:firstRowLastColumn="0" w:lastRowFirstColumn="0" w:lastRowLastColumn="0"/>
              <w:rPr>
                <w:rFonts w:eastAsia="Times New Roman" w:cs="Arial"/>
                <w:szCs w:val="24"/>
                <w:lang w:val="en-US"/>
              </w:rPr>
            </w:pPr>
            <w:r w:rsidRPr="00F74ACF">
              <w:rPr>
                <w:rFonts w:eastAsia="Times New Roman" w:cs="Arial"/>
                <w:szCs w:val="24"/>
                <w:lang w:val="en-US"/>
              </w:rPr>
              <w:t>Inclusion criteria</w:t>
            </w:r>
          </w:p>
        </w:tc>
        <w:tc>
          <w:tcPr>
            <w:cnfStyle w:val="000010000000" w:firstRow="0" w:lastRow="0" w:firstColumn="0" w:lastColumn="0" w:oddVBand="1" w:evenVBand="0" w:oddHBand="0" w:evenHBand="0" w:firstRowFirstColumn="0" w:firstRowLastColumn="0" w:lastRowFirstColumn="0" w:lastRowLastColumn="0"/>
            <w:tcW w:w="1996" w:type="pct"/>
          </w:tcPr>
          <w:p w:rsidRPr="00F74ACF" w:rsidR="00F74ACF" w:rsidP="00B27618" w:rsidRDefault="00F74ACF" w14:paraId="1086B651" w14:textId="77777777">
            <w:pPr>
              <w:spacing w:before="60" w:after="0"/>
              <w:rPr>
                <w:rFonts w:eastAsia="Times New Roman" w:cs="Arial"/>
                <w:szCs w:val="24"/>
                <w:lang w:val="en-US"/>
              </w:rPr>
            </w:pPr>
            <w:r w:rsidRPr="00F74ACF">
              <w:rPr>
                <w:rFonts w:eastAsia="Times New Roman" w:cs="Arial"/>
                <w:szCs w:val="24"/>
                <w:lang w:val="en-US"/>
              </w:rPr>
              <w:t>Exclusion criteria</w:t>
            </w:r>
          </w:p>
        </w:tc>
      </w:tr>
      <w:tr w:rsidRPr="00F74ACF" w:rsidR="00B27618" w:rsidTr="00706961" w14:paraId="5CF0D282" w14:textId="77777777">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1171" w:type="pct"/>
          </w:tcPr>
          <w:p w:rsidRPr="00F74ACF" w:rsidR="00F74ACF" w:rsidP="00B27618" w:rsidRDefault="00F74ACF" w14:paraId="5C978284" w14:textId="77777777">
            <w:pPr>
              <w:spacing w:before="60" w:after="0"/>
              <w:rPr>
                <w:rFonts w:eastAsia="Times New Roman" w:cs="Arial"/>
                <w:b/>
                <w:bCs/>
                <w:szCs w:val="24"/>
                <w:lang w:val="en-US"/>
              </w:rPr>
            </w:pPr>
            <w:r w:rsidRPr="00F74ACF">
              <w:rPr>
                <w:rFonts w:eastAsia="Times New Roman" w:cs="Arial"/>
                <w:b/>
                <w:bCs/>
                <w:szCs w:val="24"/>
                <w:lang w:val="en-US"/>
              </w:rPr>
              <w:t>Topic</w:t>
            </w:r>
          </w:p>
        </w:tc>
        <w:tc>
          <w:tcPr>
            <w:tcW w:w="1833" w:type="pct"/>
          </w:tcPr>
          <w:p w:rsidRPr="00F74ACF" w:rsidR="00F74ACF" w:rsidP="00B27618" w:rsidRDefault="00F74ACF" w14:paraId="3B76FAD0" w14:textId="77777777">
            <w:pPr>
              <w:spacing w:before="60" w:after="0"/>
              <w:cnfStyle w:val="000000100000" w:firstRow="0" w:lastRow="0" w:firstColumn="0" w:lastColumn="0" w:oddVBand="0" w:evenVBand="0" w:oddHBand="1" w:evenHBand="0" w:firstRowFirstColumn="0" w:firstRowLastColumn="0" w:lastRowFirstColumn="0" w:lastRowLastColumn="0"/>
              <w:rPr>
                <w:rFonts w:eastAsia="Times New Roman" w:cs="Arial"/>
                <w:szCs w:val="24"/>
                <w:lang w:val="en-US"/>
              </w:rPr>
            </w:pPr>
            <w:r w:rsidRPr="00F74ACF">
              <w:rPr>
                <w:rFonts w:eastAsia="Times New Roman" w:cs="Arial"/>
                <w:szCs w:val="24"/>
                <w:lang w:val="en-US"/>
              </w:rPr>
              <w:t>Approaches and interventions, reducing health inequalities, preventing health inequalities, local areas</w:t>
            </w:r>
          </w:p>
        </w:tc>
        <w:tc>
          <w:tcPr>
            <w:cnfStyle w:val="000010000000" w:firstRow="0" w:lastRow="0" w:firstColumn="0" w:lastColumn="0" w:oddVBand="1" w:evenVBand="0" w:oddHBand="0" w:evenHBand="0" w:firstRowFirstColumn="0" w:firstRowLastColumn="0" w:lastRowFirstColumn="0" w:lastRowLastColumn="0"/>
            <w:tcW w:w="1996" w:type="pct"/>
          </w:tcPr>
          <w:p w:rsidRPr="00F74ACF" w:rsidR="00F74ACF" w:rsidP="00B27618" w:rsidRDefault="00F74ACF" w14:paraId="5E80D6E0" w14:textId="77777777">
            <w:pPr>
              <w:spacing w:before="60" w:after="0"/>
              <w:rPr>
                <w:rFonts w:eastAsia="Times New Roman" w:cs="Arial"/>
                <w:szCs w:val="24"/>
                <w:lang w:val="en-US"/>
              </w:rPr>
            </w:pPr>
            <w:r w:rsidRPr="00F74ACF">
              <w:rPr>
                <w:rFonts w:eastAsia="Times New Roman" w:cs="Arial"/>
                <w:szCs w:val="24"/>
                <w:lang w:val="en-US"/>
              </w:rPr>
              <w:t>Nationally-adopted programmes aimed at reducing health inequalities</w:t>
            </w:r>
          </w:p>
          <w:p w:rsidRPr="00F74ACF" w:rsidR="00F74ACF" w:rsidP="00B27618" w:rsidRDefault="00F74ACF" w14:paraId="0FC03D00" w14:textId="77777777">
            <w:pPr>
              <w:spacing w:before="60" w:after="0"/>
              <w:rPr>
                <w:rFonts w:eastAsia="Times New Roman" w:cs="Arial"/>
                <w:szCs w:val="24"/>
                <w:lang w:val="en-US"/>
              </w:rPr>
            </w:pPr>
            <w:r w:rsidRPr="00F74ACF">
              <w:rPr>
                <w:rFonts w:eastAsia="Times New Roman" w:cs="Arial"/>
                <w:szCs w:val="24"/>
                <w:lang w:val="en-US"/>
              </w:rPr>
              <w:t xml:space="preserve">Policy / Research on health inequalities not related to specific approaches or interventions </w:t>
            </w:r>
          </w:p>
        </w:tc>
      </w:tr>
      <w:tr w:rsidRPr="00F74ACF" w:rsidR="00B27618" w:rsidTr="00706961" w14:paraId="345D8039" w14:textId="77777777">
        <w:trPr>
          <w:trHeight w:val="298"/>
        </w:trPr>
        <w:tc>
          <w:tcPr>
            <w:cnfStyle w:val="000010000000" w:firstRow="0" w:lastRow="0" w:firstColumn="0" w:lastColumn="0" w:oddVBand="1" w:evenVBand="0" w:oddHBand="0" w:evenHBand="0" w:firstRowFirstColumn="0" w:firstRowLastColumn="0" w:lastRowFirstColumn="0" w:lastRowLastColumn="0"/>
            <w:tcW w:w="1171" w:type="pct"/>
          </w:tcPr>
          <w:p w:rsidRPr="00F74ACF" w:rsidR="00F74ACF" w:rsidP="00B27618" w:rsidRDefault="00F74ACF" w14:paraId="1DC8B732" w14:textId="77777777">
            <w:pPr>
              <w:spacing w:before="60" w:after="0"/>
              <w:rPr>
                <w:rFonts w:eastAsia="Times New Roman" w:cs="Arial"/>
                <w:b/>
                <w:bCs/>
                <w:szCs w:val="24"/>
                <w:lang w:val="en-US"/>
              </w:rPr>
            </w:pPr>
            <w:r w:rsidRPr="00F74ACF">
              <w:rPr>
                <w:rFonts w:eastAsia="Times New Roman" w:cs="Arial"/>
                <w:b/>
                <w:bCs/>
                <w:szCs w:val="24"/>
                <w:lang w:val="en-US"/>
              </w:rPr>
              <w:t>Language</w:t>
            </w:r>
          </w:p>
        </w:tc>
        <w:tc>
          <w:tcPr>
            <w:tcW w:w="1833" w:type="pct"/>
          </w:tcPr>
          <w:p w:rsidRPr="00F74ACF" w:rsidR="00F74ACF" w:rsidP="00B27618" w:rsidRDefault="00F74ACF" w14:paraId="3828B735" w14:textId="77777777">
            <w:pPr>
              <w:spacing w:before="60" w:after="0"/>
              <w:cnfStyle w:val="000000000000" w:firstRow="0" w:lastRow="0" w:firstColumn="0" w:lastColumn="0" w:oddVBand="0" w:evenVBand="0" w:oddHBand="0" w:evenHBand="0" w:firstRowFirstColumn="0" w:firstRowLastColumn="0" w:lastRowFirstColumn="0" w:lastRowLastColumn="0"/>
              <w:rPr>
                <w:rFonts w:eastAsia="Times New Roman" w:cs="Arial"/>
                <w:szCs w:val="24"/>
                <w:lang w:val="en-US"/>
              </w:rPr>
            </w:pPr>
            <w:r w:rsidRPr="00F74ACF">
              <w:rPr>
                <w:rFonts w:eastAsia="Times New Roman" w:cs="Arial"/>
                <w:szCs w:val="24"/>
                <w:lang w:val="en-US"/>
              </w:rPr>
              <w:t xml:space="preserve">English </w:t>
            </w:r>
          </w:p>
        </w:tc>
        <w:tc>
          <w:tcPr>
            <w:cnfStyle w:val="000010000000" w:firstRow="0" w:lastRow="0" w:firstColumn="0" w:lastColumn="0" w:oddVBand="1" w:evenVBand="0" w:oddHBand="0" w:evenHBand="0" w:firstRowFirstColumn="0" w:firstRowLastColumn="0" w:lastRowFirstColumn="0" w:lastRowLastColumn="0"/>
            <w:tcW w:w="1996" w:type="pct"/>
          </w:tcPr>
          <w:p w:rsidRPr="00F74ACF" w:rsidR="00F74ACF" w:rsidP="00B27618" w:rsidRDefault="00F74ACF" w14:paraId="0D092F05" w14:textId="77777777">
            <w:pPr>
              <w:spacing w:before="60" w:after="0"/>
              <w:rPr>
                <w:rFonts w:eastAsia="Times New Roman" w:cs="Arial"/>
                <w:szCs w:val="24"/>
                <w:lang w:val="en-US"/>
              </w:rPr>
            </w:pPr>
            <w:r w:rsidRPr="00F74ACF">
              <w:rPr>
                <w:rFonts w:eastAsia="Times New Roman" w:cs="Arial"/>
                <w:szCs w:val="24"/>
                <w:lang w:val="en-US"/>
              </w:rPr>
              <w:t>All other languages.</w:t>
            </w:r>
          </w:p>
        </w:tc>
      </w:tr>
      <w:tr w:rsidRPr="00F74ACF" w:rsidR="00B27618" w:rsidTr="00706961" w14:paraId="5FB3110A" w14:textId="77777777">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1171" w:type="pct"/>
          </w:tcPr>
          <w:p w:rsidRPr="00F74ACF" w:rsidR="00F74ACF" w:rsidP="00B27618" w:rsidRDefault="00F74ACF" w14:paraId="020CE766" w14:textId="7250F0EB">
            <w:pPr>
              <w:spacing w:before="60" w:after="0"/>
              <w:rPr>
                <w:rFonts w:eastAsia="Times New Roman" w:cs="Arial"/>
                <w:b/>
                <w:bCs/>
                <w:szCs w:val="24"/>
                <w:lang w:val="en-US"/>
              </w:rPr>
            </w:pPr>
            <w:r w:rsidRPr="00F74ACF">
              <w:rPr>
                <w:rFonts w:eastAsia="Times New Roman" w:cs="Arial"/>
                <w:b/>
                <w:bCs/>
                <w:szCs w:val="24"/>
                <w:lang w:val="en-US"/>
              </w:rPr>
              <w:t xml:space="preserve">Countries </w:t>
            </w:r>
          </w:p>
        </w:tc>
        <w:tc>
          <w:tcPr>
            <w:tcW w:w="1833" w:type="pct"/>
          </w:tcPr>
          <w:p w:rsidRPr="00F74ACF" w:rsidR="00F74ACF" w:rsidP="00B27618" w:rsidRDefault="00F74ACF" w14:paraId="4415DB9E" w14:textId="77777777">
            <w:pPr>
              <w:spacing w:before="60" w:after="0"/>
              <w:cnfStyle w:val="000000100000" w:firstRow="0" w:lastRow="0" w:firstColumn="0" w:lastColumn="0" w:oddVBand="0" w:evenVBand="0" w:oddHBand="1" w:evenHBand="0" w:firstRowFirstColumn="0" w:firstRowLastColumn="0" w:lastRowFirstColumn="0" w:lastRowLastColumn="0"/>
              <w:rPr>
                <w:rFonts w:eastAsia="Times New Roman" w:cs="Arial"/>
                <w:szCs w:val="24"/>
                <w:lang w:val="en-US"/>
              </w:rPr>
            </w:pPr>
            <w:r w:rsidRPr="00F74ACF">
              <w:rPr>
                <w:rFonts w:eastAsia="Times New Roman" w:cs="Arial"/>
                <w:szCs w:val="24"/>
                <w:lang w:val="en-US"/>
              </w:rPr>
              <w:t>Countries of the United Kingdom and Ireland</w:t>
            </w:r>
          </w:p>
        </w:tc>
        <w:tc>
          <w:tcPr>
            <w:cnfStyle w:val="000010000000" w:firstRow="0" w:lastRow="0" w:firstColumn="0" w:lastColumn="0" w:oddVBand="1" w:evenVBand="0" w:oddHBand="0" w:evenHBand="0" w:firstRowFirstColumn="0" w:firstRowLastColumn="0" w:lastRowFirstColumn="0" w:lastRowLastColumn="0"/>
            <w:tcW w:w="1996" w:type="pct"/>
          </w:tcPr>
          <w:p w:rsidRPr="00F74ACF" w:rsidR="00F74ACF" w:rsidP="00B27618" w:rsidRDefault="00F74ACF" w14:paraId="159712A5" w14:textId="77777777">
            <w:pPr>
              <w:spacing w:before="60" w:after="0"/>
              <w:rPr>
                <w:rFonts w:eastAsia="Times New Roman" w:cs="Arial"/>
                <w:szCs w:val="24"/>
                <w:lang w:val="en-US"/>
              </w:rPr>
            </w:pPr>
            <w:r w:rsidRPr="00F74ACF">
              <w:rPr>
                <w:rFonts w:eastAsia="Times New Roman" w:cs="Arial"/>
                <w:szCs w:val="24"/>
                <w:lang w:val="en-US"/>
              </w:rPr>
              <w:t>All other countries.</w:t>
            </w:r>
          </w:p>
        </w:tc>
      </w:tr>
      <w:tr w:rsidRPr="00F74ACF" w:rsidR="00B27618" w:rsidTr="00706961" w14:paraId="48BEF21F" w14:textId="77777777">
        <w:trPr>
          <w:trHeight w:val="298"/>
        </w:trPr>
        <w:tc>
          <w:tcPr>
            <w:cnfStyle w:val="000010000000" w:firstRow="0" w:lastRow="0" w:firstColumn="0" w:lastColumn="0" w:oddVBand="1" w:evenVBand="0" w:oddHBand="0" w:evenHBand="0" w:firstRowFirstColumn="0" w:firstRowLastColumn="0" w:lastRowFirstColumn="0" w:lastRowLastColumn="0"/>
            <w:tcW w:w="1171" w:type="pct"/>
          </w:tcPr>
          <w:p w:rsidRPr="00F74ACF" w:rsidR="00F74ACF" w:rsidP="00B27618" w:rsidRDefault="00F74ACF" w14:paraId="73A1A950" w14:textId="77777777">
            <w:pPr>
              <w:spacing w:before="60" w:after="0"/>
              <w:rPr>
                <w:rFonts w:eastAsia="Times New Roman" w:cs="Arial"/>
                <w:b/>
                <w:bCs/>
                <w:szCs w:val="24"/>
                <w:lang w:val="en-US"/>
              </w:rPr>
            </w:pPr>
            <w:r w:rsidRPr="00F74ACF">
              <w:rPr>
                <w:rFonts w:eastAsia="Times New Roman" w:cs="Arial"/>
                <w:b/>
                <w:bCs/>
                <w:szCs w:val="24"/>
                <w:lang w:val="en-US"/>
              </w:rPr>
              <w:t>Other</w:t>
            </w:r>
          </w:p>
        </w:tc>
        <w:tc>
          <w:tcPr>
            <w:tcW w:w="1833" w:type="pct"/>
          </w:tcPr>
          <w:p w:rsidRPr="00F74ACF" w:rsidR="00F74ACF" w:rsidP="00B27618" w:rsidRDefault="00F74ACF" w14:paraId="1BE9457F" w14:textId="77777777">
            <w:pPr>
              <w:spacing w:before="60" w:after="0"/>
              <w:cnfStyle w:val="000000000000" w:firstRow="0" w:lastRow="0" w:firstColumn="0" w:lastColumn="0" w:oddVBand="0" w:evenVBand="0" w:oddHBand="0" w:evenHBand="0" w:firstRowFirstColumn="0" w:firstRowLastColumn="0" w:lastRowFirstColumn="0" w:lastRowLastColumn="0"/>
              <w:rPr>
                <w:rFonts w:eastAsia="Times New Roman" w:cs="Arial"/>
                <w:szCs w:val="24"/>
                <w:lang w:val="en-US"/>
              </w:rPr>
            </w:pPr>
          </w:p>
        </w:tc>
        <w:tc>
          <w:tcPr>
            <w:cnfStyle w:val="000010000000" w:firstRow="0" w:lastRow="0" w:firstColumn="0" w:lastColumn="0" w:oddVBand="1" w:evenVBand="0" w:oddHBand="0" w:evenHBand="0" w:firstRowFirstColumn="0" w:firstRowLastColumn="0" w:lastRowFirstColumn="0" w:lastRowLastColumn="0"/>
            <w:tcW w:w="1996" w:type="pct"/>
          </w:tcPr>
          <w:p w:rsidRPr="00F74ACF" w:rsidR="00F74ACF" w:rsidP="00B27618" w:rsidRDefault="00F74ACF" w14:paraId="5F1BCE1C" w14:textId="77777777">
            <w:pPr>
              <w:spacing w:before="60" w:after="0"/>
              <w:rPr>
                <w:rFonts w:eastAsia="Times New Roman" w:cs="Arial"/>
                <w:szCs w:val="24"/>
                <w:lang w:val="en-US"/>
              </w:rPr>
            </w:pPr>
            <w:r w:rsidRPr="00F74ACF">
              <w:rPr>
                <w:rFonts w:eastAsia="Arial" w:cs="Arial"/>
                <w:szCs w:val="24"/>
              </w:rPr>
              <w:t>Duplicates (RSM to remove most during search stage, but some duplicates are likely to remain).</w:t>
            </w:r>
          </w:p>
        </w:tc>
      </w:tr>
    </w:tbl>
    <w:p w:rsidRPr="00F74ACF" w:rsidR="00F74ACF" w:rsidP="00672BFB" w:rsidRDefault="00F74ACF" w14:paraId="605B62F4" w14:textId="77777777">
      <w:pPr>
        <w:spacing w:before="240"/>
        <w:rPr>
          <w:rFonts w:eastAsia="Times New Roman" w:cs="Arial"/>
          <w:szCs w:val="24"/>
        </w:rPr>
      </w:pPr>
      <w:bookmarkStart w:name="_Toc139619182" w:id="167"/>
      <w:r w:rsidRPr="00F74ACF">
        <w:rPr>
          <w:rFonts w:eastAsia="Times New Roman" w:cs="Arial"/>
          <w:szCs w:val="24"/>
        </w:rPr>
        <w:t>We will then review c. 250 abstracts; the second level inclusion/ exclusion criteria will then be applied to each abstract that passes the first level criteria. The second level criteria are listed below and relate to the detailed research questions. These may need to be refined depending on the number of studies retrieved. Abstracts which do not meet any second level inclusion criteria will be discarded and the remaining abstracts will form the shortlist of relevant literature for further screening and quality assessment.</w:t>
      </w:r>
      <w:bookmarkEnd w:id="167"/>
      <w:r w:rsidRPr="00F74ACF">
        <w:rPr>
          <w:rFonts w:eastAsia="Times New Roman" w:cs="Arial"/>
          <w:szCs w:val="24"/>
        </w:rPr>
        <w:t xml:space="preserve"> </w:t>
      </w:r>
    </w:p>
    <w:tbl>
      <w:tblPr>
        <w:tblStyle w:val="PlainTable1"/>
        <w:tblW w:w="5020" w:type="pct"/>
        <w:tblLook w:val="0020" w:firstRow="1" w:lastRow="0" w:firstColumn="0" w:lastColumn="0" w:noHBand="0" w:noVBand="0"/>
      </w:tblPr>
      <w:tblGrid>
        <w:gridCol w:w="2331"/>
        <w:gridCol w:w="3648"/>
        <w:gridCol w:w="3972"/>
      </w:tblGrid>
      <w:tr w:rsidRPr="00F74ACF" w:rsidR="00B27618" w:rsidTr="00706961" w14:paraId="12F996AB" w14:textId="77777777">
        <w:trPr>
          <w:cnfStyle w:val="100000000000" w:firstRow="1" w:lastRow="0" w:firstColumn="0" w:lastColumn="0" w:oddVBand="0" w:evenVBand="0" w:oddHBand="0"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171" w:type="pct"/>
          </w:tcPr>
          <w:p w:rsidRPr="00F74ACF" w:rsidR="00F74ACF" w:rsidP="00B27618" w:rsidRDefault="00F74ACF" w14:paraId="2CF026B9" w14:textId="77777777">
            <w:pPr>
              <w:spacing w:before="60" w:after="0"/>
              <w:rPr>
                <w:rFonts w:eastAsia="Times New Roman" w:cs="Arial"/>
                <w:szCs w:val="24"/>
                <w:lang w:val="en-US"/>
              </w:rPr>
            </w:pPr>
            <w:r w:rsidRPr="00F74ACF">
              <w:rPr>
                <w:rFonts w:eastAsia="Times New Roman" w:cs="Arial"/>
                <w:szCs w:val="24"/>
                <w:lang w:val="en-US"/>
              </w:rPr>
              <w:t>2</w:t>
            </w:r>
            <w:r w:rsidRPr="00F74ACF">
              <w:rPr>
                <w:rFonts w:eastAsia="Times New Roman" w:cs="Arial"/>
                <w:szCs w:val="24"/>
                <w:vertAlign w:val="superscript"/>
                <w:lang w:val="en-US"/>
              </w:rPr>
              <w:t>nd</w:t>
            </w:r>
            <w:r w:rsidRPr="00F74ACF">
              <w:rPr>
                <w:rFonts w:eastAsia="Times New Roman" w:cs="Arial"/>
                <w:szCs w:val="24"/>
                <w:lang w:val="en-US"/>
              </w:rPr>
              <w:t xml:space="preserve"> level criteria</w:t>
            </w:r>
          </w:p>
        </w:tc>
        <w:tc>
          <w:tcPr>
            <w:tcW w:w="1833" w:type="pct"/>
          </w:tcPr>
          <w:p w:rsidRPr="00F74ACF" w:rsidR="00F74ACF" w:rsidP="00B27618" w:rsidRDefault="00F74ACF" w14:paraId="140A5942" w14:textId="77777777">
            <w:pPr>
              <w:spacing w:before="60" w:after="0"/>
              <w:cnfStyle w:val="100000000000" w:firstRow="1" w:lastRow="0" w:firstColumn="0" w:lastColumn="0" w:oddVBand="0" w:evenVBand="0" w:oddHBand="0" w:evenHBand="0" w:firstRowFirstColumn="0" w:firstRowLastColumn="0" w:lastRowFirstColumn="0" w:lastRowLastColumn="0"/>
              <w:rPr>
                <w:rFonts w:eastAsia="Times New Roman" w:cs="Arial"/>
                <w:szCs w:val="24"/>
                <w:lang w:val="en-US"/>
              </w:rPr>
            </w:pPr>
            <w:r w:rsidRPr="00F74ACF">
              <w:rPr>
                <w:rFonts w:eastAsia="Times New Roman" w:cs="Arial"/>
                <w:szCs w:val="24"/>
                <w:lang w:val="en-US"/>
              </w:rPr>
              <w:t>Inclusion criteria</w:t>
            </w:r>
          </w:p>
        </w:tc>
        <w:tc>
          <w:tcPr>
            <w:cnfStyle w:val="000010000000" w:firstRow="0" w:lastRow="0" w:firstColumn="0" w:lastColumn="0" w:oddVBand="1" w:evenVBand="0" w:oddHBand="0" w:evenHBand="0" w:firstRowFirstColumn="0" w:firstRowLastColumn="0" w:lastRowFirstColumn="0" w:lastRowLastColumn="0"/>
            <w:tcW w:w="1996" w:type="pct"/>
          </w:tcPr>
          <w:p w:rsidRPr="00F74ACF" w:rsidR="00F74ACF" w:rsidP="00B27618" w:rsidRDefault="00F74ACF" w14:paraId="6C0EE87B" w14:textId="77777777">
            <w:pPr>
              <w:spacing w:before="60" w:after="0"/>
              <w:rPr>
                <w:rFonts w:eastAsia="Times New Roman" w:cs="Arial"/>
                <w:szCs w:val="24"/>
                <w:lang w:val="en-US"/>
              </w:rPr>
            </w:pPr>
            <w:r w:rsidRPr="00F74ACF">
              <w:rPr>
                <w:rFonts w:eastAsia="Times New Roman" w:cs="Arial"/>
                <w:szCs w:val="24"/>
                <w:lang w:val="en-US"/>
              </w:rPr>
              <w:t>Exclusion criteria</w:t>
            </w:r>
          </w:p>
        </w:tc>
      </w:tr>
      <w:tr w:rsidRPr="00F74ACF" w:rsidR="00B27618" w:rsidTr="00706961" w14:paraId="0057010C" w14:textId="77777777">
        <w:trPr>
          <w:cnfStyle w:val="000000100000" w:firstRow="0" w:lastRow="0" w:firstColumn="0" w:lastColumn="0" w:oddVBand="0" w:evenVBand="0" w:oddHBand="1" w:evenHBand="0" w:firstRowFirstColumn="0" w:firstRowLastColumn="0" w:lastRowFirstColumn="0" w:lastRowLastColumn="0"/>
          <w:trHeight w:val="298"/>
        </w:trPr>
        <w:tc>
          <w:tcPr>
            <w:cnfStyle w:val="000010000000" w:firstRow="0" w:lastRow="0" w:firstColumn="0" w:lastColumn="0" w:oddVBand="1" w:evenVBand="0" w:oddHBand="0" w:evenHBand="0" w:firstRowFirstColumn="0" w:firstRowLastColumn="0" w:lastRowFirstColumn="0" w:lastRowLastColumn="0"/>
            <w:tcW w:w="1171" w:type="pct"/>
          </w:tcPr>
          <w:p w:rsidRPr="00F74ACF" w:rsidR="00F74ACF" w:rsidP="00B27618" w:rsidRDefault="00F74ACF" w14:paraId="0C15EBD3" w14:textId="77777777">
            <w:pPr>
              <w:spacing w:before="60" w:after="0"/>
              <w:rPr>
                <w:rFonts w:eastAsia="Times New Roman" w:cs="Arial"/>
                <w:b/>
                <w:bCs/>
                <w:szCs w:val="24"/>
                <w:lang w:val="en-US"/>
              </w:rPr>
            </w:pPr>
            <w:r w:rsidRPr="00F74ACF">
              <w:rPr>
                <w:rFonts w:eastAsia="Times New Roman" w:cs="Arial"/>
                <w:b/>
                <w:bCs/>
                <w:szCs w:val="24"/>
                <w:lang w:val="en-US"/>
              </w:rPr>
              <w:t>Topics based on research questions:</w:t>
            </w:r>
          </w:p>
        </w:tc>
        <w:tc>
          <w:tcPr>
            <w:tcW w:w="1833" w:type="pct"/>
          </w:tcPr>
          <w:p w:rsidRPr="00F74ACF" w:rsidR="00F74ACF" w:rsidP="00B27618" w:rsidRDefault="00F74ACF" w14:paraId="4004BEFD" w14:textId="77777777">
            <w:pPr>
              <w:spacing w:before="60" w:after="0"/>
              <w:cnfStyle w:val="000000100000" w:firstRow="0" w:lastRow="0" w:firstColumn="0" w:lastColumn="0" w:oddVBand="0" w:evenVBand="0" w:oddHBand="1" w:evenHBand="0" w:firstRowFirstColumn="0" w:firstRowLastColumn="0" w:lastRowFirstColumn="0" w:lastRowLastColumn="0"/>
              <w:rPr>
                <w:rFonts w:eastAsia="Times New Roman" w:cs="Arial"/>
                <w:szCs w:val="24"/>
                <w:lang w:val="en-US"/>
              </w:rPr>
            </w:pPr>
            <w:r w:rsidRPr="00F74ACF">
              <w:rPr>
                <w:rFonts w:eastAsia="Times New Roman" w:cs="Arial"/>
                <w:szCs w:val="24"/>
                <w:lang w:val="en-US"/>
              </w:rPr>
              <w:t>Related to one or more these topics:</w:t>
            </w:r>
          </w:p>
          <w:p w:rsidRPr="00F74ACF" w:rsidR="00F74ACF" w:rsidP="00AF10D4" w:rsidRDefault="00F74ACF" w14:paraId="111FD8BD" w14:textId="77777777">
            <w:pPr>
              <w:numPr>
                <w:ilvl w:val="0"/>
                <w:numId w:val="13"/>
              </w:numPr>
              <w:spacing w:after="60"/>
              <w:ind w:left="417"/>
              <w:contextualSpacing/>
              <w:cnfStyle w:val="000000100000" w:firstRow="0" w:lastRow="0" w:firstColumn="0" w:lastColumn="0" w:oddVBand="0" w:evenVBand="0" w:oddHBand="1" w:evenHBand="0" w:firstRowFirstColumn="0" w:firstRowLastColumn="0" w:lastRowFirstColumn="0" w:lastRowLastColumn="0"/>
              <w:rPr>
                <w:rFonts w:eastAsia="Times New Roman" w:cs="Arial"/>
                <w:szCs w:val="24"/>
                <w:lang w:val="en-US"/>
              </w:rPr>
            </w:pPr>
            <w:r w:rsidRPr="00F74ACF">
              <w:rPr>
                <w:rFonts w:eastAsia="Times New Roman" w:cs="Arial"/>
                <w:szCs w:val="24"/>
                <w:lang w:val="en-US"/>
              </w:rPr>
              <w:t>What are effective ways of identifying local health inequalities or potential health inequalities?</w:t>
            </w:r>
          </w:p>
          <w:p w:rsidRPr="00F74ACF" w:rsidR="00F74ACF" w:rsidP="00AF10D4" w:rsidRDefault="00F74ACF" w14:paraId="0DCA828F" w14:textId="77777777">
            <w:pPr>
              <w:numPr>
                <w:ilvl w:val="0"/>
                <w:numId w:val="13"/>
              </w:numPr>
              <w:spacing w:after="60"/>
              <w:ind w:left="417"/>
              <w:contextualSpacing/>
              <w:cnfStyle w:val="000000100000" w:firstRow="0" w:lastRow="0" w:firstColumn="0" w:lastColumn="0" w:oddVBand="0" w:evenVBand="0" w:oddHBand="1" w:evenHBand="0" w:firstRowFirstColumn="0" w:firstRowLastColumn="0" w:lastRowFirstColumn="0" w:lastRowLastColumn="0"/>
              <w:rPr>
                <w:rFonts w:eastAsia="Times New Roman" w:cs="Arial"/>
                <w:szCs w:val="24"/>
                <w:lang w:val="en-US"/>
              </w:rPr>
            </w:pPr>
            <w:r w:rsidRPr="00F74ACF">
              <w:rPr>
                <w:rFonts w:eastAsia="Times New Roman" w:cs="Arial"/>
                <w:szCs w:val="24"/>
                <w:lang w:val="en-US"/>
              </w:rPr>
              <w:t xml:space="preserve">What are the evidence-based interventions / approaches that work in a local area? </w:t>
            </w:r>
          </w:p>
          <w:p w:rsidRPr="00F74ACF" w:rsidR="00F74ACF" w:rsidP="00AF10D4" w:rsidRDefault="00F74ACF" w14:paraId="2CFF6EC2" w14:textId="77777777">
            <w:pPr>
              <w:numPr>
                <w:ilvl w:val="0"/>
                <w:numId w:val="13"/>
              </w:numPr>
              <w:spacing w:after="60"/>
              <w:ind w:left="417"/>
              <w:contextualSpacing/>
              <w:cnfStyle w:val="000000100000" w:firstRow="0" w:lastRow="0" w:firstColumn="0" w:lastColumn="0" w:oddVBand="0" w:evenVBand="0" w:oddHBand="1" w:evenHBand="0" w:firstRowFirstColumn="0" w:firstRowLastColumn="0" w:lastRowFirstColumn="0" w:lastRowLastColumn="0"/>
              <w:rPr>
                <w:rFonts w:eastAsia="Times New Roman" w:cs="Arial"/>
                <w:szCs w:val="24"/>
                <w:lang w:val="en-US"/>
              </w:rPr>
            </w:pPr>
            <w:r w:rsidRPr="00F74ACF">
              <w:rPr>
                <w:rFonts w:eastAsia="Times New Roman" w:cs="Arial"/>
                <w:szCs w:val="24"/>
                <w:lang w:val="en-US"/>
              </w:rPr>
              <w:t>What does successful engagement with local people and communities look like?</w:t>
            </w:r>
          </w:p>
        </w:tc>
        <w:tc>
          <w:tcPr>
            <w:cnfStyle w:val="000010000000" w:firstRow="0" w:lastRow="0" w:firstColumn="0" w:lastColumn="0" w:oddVBand="1" w:evenVBand="0" w:oddHBand="0" w:evenHBand="0" w:firstRowFirstColumn="0" w:firstRowLastColumn="0" w:lastRowFirstColumn="0" w:lastRowLastColumn="0"/>
            <w:tcW w:w="1996" w:type="pct"/>
          </w:tcPr>
          <w:p w:rsidRPr="00F74ACF" w:rsidR="00F74ACF" w:rsidP="00B27618" w:rsidRDefault="00F74ACF" w14:paraId="5E48D4E7" w14:textId="77777777">
            <w:pPr>
              <w:spacing w:before="60" w:after="0"/>
              <w:rPr>
                <w:rFonts w:eastAsia="Times New Roman" w:cs="Arial"/>
                <w:szCs w:val="24"/>
                <w:lang w:val="en-US"/>
              </w:rPr>
            </w:pPr>
            <w:r w:rsidRPr="00F74ACF">
              <w:rPr>
                <w:rFonts w:eastAsia="Times New Roman" w:cs="Arial"/>
                <w:szCs w:val="24"/>
                <w:lang w:val="en-US"/>
              </w:rPr>
              <w:t>Not related to any of the topics related to the research questions.</w:t>
            </w:r>
          </w:p>
          <w:p w:rsidRPr="00F74ACF" w:rsidR="00F74ACF" w:rsidP="00B27618" w:rsidRDefault="00F74ACF" w14:paraId="2B1C8640" w14:textId="77777777">
            <w:pPr>
              <w:spacing w:before="60" w:after="0"/>
              <w:rPr>
                <w:rFonts w:eastAsia="Times New Roman" w:cs="Arial"/>
                <w:szCs w:val="24"/>
                <w:lang w:val="en-US"/>
              </w:rPr>
            </w:pPr>
          </w:p>
        </w:tc>
      </w:tr>
      <w:tr w:rsidRPr="00F74ACF" w:rsidR="00B27618" w:rsidTr="00706961" w14:paraId="6E1B3EF8" w14:textId="77777777">
        <w:trPr>
          <w:trHeight w:val="298"/>
        </w:trPr>
        <w:tc>
          <w:tcPr>
            <w:cnfStyle w:val="000010000000" w:firstRow="0" w:lastRow="0" w:firstColumn="0" w:lastColumn="0" w:oddVBand="1" w:evenVBand="0" w:oddHBand="0" w:evenHBand="0" w:firstRowFirstColumn="0" w:firstRowLastColumn="0" w:lastRowFirstColumn="0" w:lastRowLastColumn="0"/>
            <w:tcW w:w="1171" w:type="pct"/>
          </w:tcPr>
          <w:p w:rsidRPr="00F74ACF" w:rsidR="00F74ACF" w:rsidP="00B27618" w:rsidRDefault="00F74ACF" w14:paraId="24CFDAE4" w14:textId="77777777">
            <w:pPr>
              <w:spacing w:before="60" w:after="0"/>
              <w:rPr>
                <w:rFonts w:eastAsia="Times New Roman" w:cs="Arial"/>
                <w:b/>
                <w:bCs/>
                <w:szCs w:val="24"/>
                <w:highlight w:val="yellow"/>
                <w:lang w:val="en-US"/>
              </w:rPr>
            </w:pPr>
            <w:r w:rsidRPr="00F74ACF">
              <w:rPr>
                <w:rFonts w:eastAsia="Times New Roman" w:cs="Arial"/>
                <w:b/>
                <w:bCs/>
                <w:szCs w:val="24"/>
                <w:lang w:val="en-US"/>
              </w:rPr>
              <w:t>Outcomes:</w:t>
            </w:r>
          </w:p>
        </w:tc>
        <w:tc>
          <w:tcPr>
            <w:tcW w:w="1833" w:type="pct"/>
          </w:tcPr>
          <w:p w:rsidRPr="00F74ACF" w:rsidR="00F74ACF" w:rsidP="00AF10D4" w:rsidRDefault="00F74ACF" w14:paraId="550D12C7" w14:textId="77777777">
            <w:pPr>
              <w:numPr>
                <w:ilvl w:val="0"/>
                <w:numId w:val="13"/>
              </w:numPr>
              <w:spacing w:after="60"/>
              <w:ind w:left="417"/>
              <w:contextualSpacing/>
              <w:cnfStyle w:val="000000000000" w:firstRow="0" w:lastRow="0" w:firstColumn="0" w:lastColumn="0" w:oddVBand="0" w:evenVBand="0" w:oddHBand="0" w:evenHBand="0" w:firstRowFirstColumn="0" w:firstRowLastColumn="0" w:lastRowFirstColumn="0" w:lastRowLastColumn="0"/>
              <w:rPr>
                <w:rFonts w:eastAsia="Times New Roman" w:cs="Arial"/>
                <w:szCs w:val="24"/>
                <w:lang w:val="en-US"/>
              </w:rPr>
            </w:pPr>
            <w:r w:rsidRPr="00F74ACF">
              <w:rPr>
                <w:rFonts w:eastAsia="Times New Roman" w:cs="Arial"/>
                <w:szCs w:val="24"/>
                <w:lang w:val="en-US"/>
              </w:rPr>
              <w:t>Interventions and approaches to addressing health inequalities</w:t>
            </w:r>
          </w:p>
          <w:p w:rsidRPr="00F74ACF" w:rsidR="00F74ACF" w:rsidP="00AF10D4" w:rsidRDefault="00F74ACF" w14:paraId="71963C20" w14:textId="77777777">
            <w:pPr>
              <w:numPr>
                <w:ilvl w:val="0"/>
                <w:numId w:val="13"/>
              </w:numPr>
              <w:spacing w:after="60"/>
              <w:ind w:left="417"/>
              <w:contextualSpacing/>
              <w:cnfStyle w:val="000000000000" w:firstRow="0" w:lastRow="0" w:firstColumn="0" w:lastColumn="0" w:oddVBand="0" w:evenVBand="0" w:oddHBand="0" w:evenHBand="0" w:firstRowFirstColumn="0" w:firstRowLastColumn="0" w:lastRowFirstColumn="0" w:lastRowLastColumn="0"/>
              <w:rPr>
                <w:rFonts w:eastAsia="Times New Roman" w:cs="Arial"/>
                <w:szCs w:val="24"/>
                <w:lang w:val="en-US"/>
              </w:rPr>
            </w:pPr>
            <w:r w:rsidRPr="00F74ACF">
              <w:rPr>
                <w:rFonts w:eastAsia="Times New Roman" w:cs="Arial"/>
                <w:szCs w:val="24"/>
                <w:lang w:val="en-US"/>
              </w:rPr>
              <w:t xml:space="preserve">Facilitators and barriers of reducing health inequalities </w:t>
            </w:r>
          </w:p>
        </w:tc>
        <w:tc>
          <w:tcPr>
            <w:cnfStyle w:val="000010000000" w:firstRow="0" w:lastRow="0" w:firstColumn="0" w:lastColumn="0" w:oddVBand="1" w:evenVBand="0" w:oddHBand="0" w:evenHBand="0" w:firstRowFirstColumn="0" w:firstRowLastColumn="0" w:lastRowFirstColumn="0" w:lastRowLastColumn="0"/>
            <w:tcW w:w="1996" w:type="pct"/>
          </w:tcPr>
          <w:p w:rsidRPr="00F74ACF" w:rsidR="00F74ACF" w:rsidP="00B27618" w:rsidRDefault="00F74ACF" w14:paraId="2B8D7DAE" w14:textId="77777777">
            <w:pPr>
              <w:spacing w:before="60" w:after="0"/>
              <w:rPr>
                <w:rFonts w:eastAsia="Times New Roman" w:cs="Arial"/>
                <w:szCs w:val="24"/>
                <w:highlight w:val="yellow"/>
                <w:lang w:val="en-US"/>
              </w:rPr>
            </w:pPr>
            <w:r w:rsidRPr="00F74ACF">
              <w:rPr>
                <w:rFonts w:eastAsia="Times New Roman" w:cs="Arial"/>
                <w:szCs w:val="24"/>
                <w:lang w:val="en-US"/>
              </w:rPr>
              <w:t>Does not have any of the outcomes associated with the research questions.</w:t>
            </w:r>
          </w:p>
        </w:tc>
      </w:tr>
    </w:tbl>
    <w:p w:rsidRPr="00F74ACF" w:rsidR="00F74ACF" w:rsidP="00F2473C" w:rsidRDefault="00F74ACF" w14:paraId="264BAA3B" w14:textId="77777777">
      <w:pPr>
        <w:rPr>
          <w:rFonts w:ascii="Arial Bold" w:hAnsi="Arial Bold" w:eastAsia="Times New Roman" w:cs="Times New Roman"/>
          <w:b/>
          <w:bCs/>
          <w:szCs w:val="24"/>
        </w:rPr>
      </w:pPr>
      <w:bookmarkStart w:name="_Toc139619183" w:id="168"/>
      <w:r w:rsidRPr="00F74ACF">
        <w:rPr>
          <w:rFonts w:ascii="Arial Bold" w:hAnsi="Arial Bold" w:eastAsia="Times New Roman" w:cs="Times New Roman"/>
          <w:b/>
          <w:bCs/>
          <w:szCs w:val="24"/>
        </w:rPr>
        <w:t>Stage 3. Quality assessment of full texts:</w:t>
      </w:r>
      <w:bookmarkEnd w:id="168"/>
    </w:p>
    <w:p w:rsidRPr="00F74ACF" w:rsidR="00F74ACF" w:rsidP="00B27618" w:rsidRDefault="00F74ACF" w14:paraId="3FCE4FE8" w14:textId="1CFFF6CC">
      <w:pPr>
        <w:spacing w:after="0"/>
        <w:rPr>
          <w:rFonts w:eastAsia="Calibri" w:cs="Arial"/>
          <w:szCs w:val="24"/>
        </w:rPr>
      </w:pPr>
      <w:r w:rsidRPr="00F74ACF">
        <w:rPr>
          <w:rFonts w:eastAsia="Times New Roman" w:cs="Arial"/>
          <w:szCs w:val="24"/>
        </w:rPr>
        <w:t xml:space="preserve">We expect to generate a shortlist of a maximum of 250 studies. We will obtain and screen the full texts to identify the final list of the most relevant and pertinent studies to undergo full review. </w:t>
      </w:r>
      <w:r w:rsidRPr="00F74ACF">
        <w:rPr>
          <w:rFonts w:eastAsia="Calibri" w:cs="Arial"/>
          <w:szCs w:val="24"/>
        </w:rPr>
        <w:t xml:space="preserve">The selection will be based on tighter inclusion criteria including quality measures for academic literature </w:t>
      </w:r>
      <w:r w:rsidR="00672BFB">
        <w:rPr>
          <w:rFonts w:eastAsia="Calibri" w:cs="Arial"/>
          <w:szCs w:val="24"/>
        </w:rPr>
        <w:t>ie</w:t>
      </w:r>
      <w:r w:rsidRPr="00F74ACF">
        <w:rPr>
          <w:rFonts w:eastAsia="Calibri" w:cs="Arial"/>
          <w:szCs w:val="24"/>
        </w:rPr>
        <w:t>, the extent to which methodologies/ evidence bases are robust using the AMSTAR</w:t>
      </w:r>
      <w:r w:rsidRPr="00F74ACF">
        <w:rPr>
          <w:rFonts w:eastAsia="Calibri" w:cs="Arial"/>
          <w:szCs w:val="24"/>
          <w:vertAlign w:val="superscript"/>
        </w:rPr>
        <w:footnoteReference w:id="3"/>
      </w:r>
      <w:r w:rsidRPr="00F74ACF">
        <w:rPr>
          <w:rFonts w:eastAsia="Calibri" w:cs="Arial"/>
          <w:szCs w:val="24"/>
        </w:rPr>
        <w:t xml:space="preserve"> checklist together with GRADE criteria</w:t>
      </w:r>
      <w:r w:rsidR="000F7C6A">
        <w:rPr>
          <w:rFonts w:eastAsia="Calibri" w:cs="Arial"/>
          <w:szCs w:val="24"/>
        </w:rPr>
        <w:t>.</w:t>
      </w:r>
      <w:r w:rsidRPr="00F74ACF">
        <w:rPr>
          <w:rFonts w:eastAsia="Calibri" w:cs="Arial"/>
          <w:szCs w:val="24"/>
          <w:vertAlign w:val="superscript"/>
        </w:rPr>
        <w:footnoteReference w:id="4"/>
      </w:r>
      <w:r w:rsidR="000F7C6A">
        <w:rPr>
          <w:rFonts w:eastAsia="Calibri" w:cs="Arial"/>
          <w:szCs w:val="24"/>
        </w:rPr>
        <w:t xml:space="preserve"> </w:t>
      </w:r>
      <w:r w:rsidRPr="00F74ACF">
        <w:rPr>
          <w:rFonts w:eastAsia="Times New Roman" w:cs="Arial"/>
          <w:szCs w:val="24"/>
        </w:rPr>
        <w:t>Grey literature will be screened for quality based on relevance, recognising that due to the nature of this type of research, assessing for robustness will not add value.</w:t>
      </w:r>
    </w:p>
    <w:p w:rsidRPr="00F74ACF" w:rsidR="00F74ACF" w:rsidP="00F2473C" w:rsidRDefault="00F74ACF" w14:paraId="68DC5324" w14:textId="77777777">
      <w:pPr>
        <w:spacing w:before="240"/>
        <w:rPr>
          <w:rFonts w:ascii="Arial Bold" w:hAnsi="Arial Bold" w:eastAsia="Times New Roman" w:cs="Times New Roman"/>
          <w:b/>
          <w:bCs/>
          <w:szCs w:val="24"/>
        </w:rPr>
      </w:pPr>
      <w:bookmarkStart w:name="_Toc139619184" w:id="169"/>
      <w:r w:rsidRPr="00F74ACF">
        <w:rPr>
          <w:rFonts w:ascii="Arial Bold" w:hAnsi="Arial Bold" w:eastAsia="Times New Roman" w:cs="Times New Roman"/>
          <w:b/>
          <w:bCs/>
          <w:szCs w:val="24"/>
        </w:rPr>
        <w:t>Stage 4. Full review and data extraction:</w:t>
      </w:r>
      <w:bookmarkEnd w:id="169"/>
    </w:p>
    <w:p w:rsidRPr="00F74ACF" w:rsidR="00F74ACF" w:rsidP="00B27618" w:rsidRDefault="00F74ACF" w14:paraId="676E8071" w14:textId="77777777">
      <w:pPr>
        <w:spacing w:before="120" w:after="120"/>
        <w:rPr>
          <w:rFonts w:eastAsia="Arial" w:cs="Arial"/>
          <w:szCs w:val="24"/>
        </w:rPr>
      </w:pPr>
      <w:r w:rsidRPr="00F74ACF">
        <w:rPr>
          <w:rFonts w:eastAsia="Arial" w:cs="Arial"/>
          <w:szCs w:val="24"/>
        </w:rPr>
        <w:t>We will complete a review of a maximum 70 articles and extract information from the review literature into separate spreadsheets for each research question, using the headings suggested below. The final list of studies will be further interrogated for quality. The process for data extraction will be to start with systematic reviews, thus getting an overview of the evidence and then proceeding to individual studies.</w:t>
      </w:r>
    </w:p>
    <w:p w:rsidRPr="00F74ACF" w:rsidR="00F74ACF" w:rsidP="00B27618" w:rsidRDefault="00F74ACF" w14:paraId="15424C44" w14:textId="77777777">
      <w:pPr>
        <w:spacing w:before="120" w:after="120"/>
        <w:rPr>
          <w:rFonts w:eastAsia="Arial" w:cs="Arial"/>
          <w:szCs w:val="24"/>
        </w:rPr>
      </w:pPr>
      <w:r w:rsidRPr="00F74ACF">
        <w:rPr>
          <w:rFonts w:eastAsia="Arial" w:cs="Arial"/>
          <w:szCs w:val="24"/>
        </w:rPr>
        <w:t>We will specify the headings used to extract information into the data extraction spreadsheet. Headings will likely include title, author, date, country, study type, study aims, methods/ evidence base, findings, strengths, and limitations reported in study, key themes/topics, relevant outcomes, and a quality appraisal. We will also provide single-sentence evidence statements per research question, accompanied by a red-amber-green rating of the strength of the evidence, to aid as a quick reference point for decision-makers.</w:t>
      </w:r>
    </w:p>
    <w:p w:rsidRPr="00F74ACF" w:rsidR="00F74ACF" w:rsidP="00B27618" w:rsidRDefault="00F74ACF" w14:paraId="69D16CC0" w14:textId="2F4A90AC">
      <w:pPr>
        <w:spacing w:before="240"/>
        <w:rPr>
          <w:rFonts w:eastAsia="Calibri" w:cs="Times New Roman"/>
          <w:szCs w:val="24"/>
        </w:rPr>
      </w:pPr>
      <w:r w:rsidRPr="00F74ACF">
        <w:rPr>
          <w:rFonts w:eastAsia="Calibri" w:cs="Times New Roman"/>
          <w:szCs w:val="24"/>
        </w:rPr>
        <w:t>Quality appraisals will be completed concurrently with the extraction process. Given the breadth of research likely to be picked up in this review, we suggest using the Mixed Methods Appraisal Tool which has 19 screening questions to assess qualitative research, randomized controlled trials, non-randomized studies, quantitative descriptive studies, and mixed methods studies</w:t>
      </w:r>
      <w:r w:rsidR="000F7C6A">
        <w:rPr>
          <w:rFonts w:eastAsia="Calibri" w:cs="Times New Roman"/>
          <w:szCs w:val="24"/>
        </w:rPr>
        <w:t>.</w:t>
      </w:r>
      <w:r w:rsidRPr="00F74ACF">
        <w:rPr>
          <w:rFonts w:eastAsia="Calibri" w:cs="Times New Roman"/>
          <w:szCs w:val="24"/>
          <w:vertAlign w:val="superscript"/>
        </w:rPr>
        <w:footnoteReference w:id="5"/>
      </w:r>
    </w:p>
    <w:p w:rsidRPr="00F74ACF" w:rsidR="00F74ACF" w:rsidP="00B27618" w:rsidRDefault="00F74ACF" w14:paraId="2245F464" w14:textId="77777777">
      <w:pPr>
        <w:rPr>
          <w:rFonts w:eastAsia="Calibri" w:cs="Times New Roman"/>
          <w:szCs w:val="24"/>
          <w:lang w:val="fr-FR"/>
        </w:rPr>
      </w:pPr>
      <w:r w:rsidRPr="00F74ACF">
        <w:rPr>
          <w:rFonts w:eastAsia="Calibri" w:cs="Times New Roman"/>
          <w:szCs w:val="24"/>
        </w:rPr>
        <w:t>Findings will be synthesised according to the primary research questions and written up into separate report sections as well as into high level summary slides outlining the key findings.</w:t>
      </w:r>
    </w:p>
    <w:p w:rsidR="00E06413" w:rsidP="006871B4" w:rsidRDefault="00E06413" w14:paraId="1CEBAAA9" w14:textId="12CCE6DB"/>
    <w:p w:rsidR="00196837" w:rsidRDefault="00196837" w14:paraId="0FF4D3FA" w14:textId="77777777">
      <w:pPr>
        <w:spacing w:after="160" w:line="259" w:lineRule="auto"/>
        <w:rPr>
          <w:rFonts w:eastAsiaTheme="majorEastAsia" w:cstheme="majorBidi"/>
          <w:bCs/>
          <w:sz w:val="40"/>
          <w:szCs w:val="28"/>
        </w:rPr>
      </w:pPr>
      <w:bookmarkStart w:name="_Toc129861349" w:id="170"/>
      <w:bookmarkStart w:name="_Toc129865456" w:id="171"/>
      <w:bookmarkStart w:name="_Toc129865504" w:id="172"/>
      <w:bookmarkStart w:name="_Toc129953112" w:id="173"/>
      <w:bookmarkStart w:name="_Toc129953143" w:id="174"/>
      <w:bookmarkStart w:name="_Toc129953222" w:id="175"/>
      <w:bookmarkStart w:name="_Toc129953594" w:id="176"/>
      <w:r>
        <w:br w:type="page"/>
      </w:r>
    </w:p>
    <w:p w:rsidRPr="00EC0502" w:rsidR="00196837" w:rsidP="00EC0502" w:rsidRDefault="00196837" w14:paraId="270F508E" w14:textId="385F702E">
      <w:pPr>
        <w:pStyle w:val="Head12C2R"/>
        <w:framePr w:w="0" w:wrap="auto" w:yAlign="inline"/>
        <w:spacing w:after="240"/>
      </w:pPr>
      <w:bookmarkStart w:name="_Toc146539774" w:id="177"/>
      <w:r>
        <w:t>Annex C</w:t>
      </w:r>
      <w:r w:rsidR="00525AA5">
        <w:t xml:space="preserve"> – </w:t>
      </w:r>
      <w:r w:rsidR="006C28CC">
        <w:t>T</w:t>
      </w:r>
      <w:r w:rsidRPr="00365C10" w:rsidR="006C28CC">
        <w:t xml:space="preserve">heme </w:t>
      </w:r>
      <w:r w:rsidR="006C28CC">
        <w:t xml:space="preserve">1 Detailed results </w:t>
      </w:r>
      <w:r w:rsidRPr="00365C10" w:rsidR="006C28CC">
        <w:t>from the literature</w:t>
      </w:r>
      <w:bookmarkEnd w:id="177"/>
    </w:p>
    <w:tbl>
      <w:tblPr>
        <w:tblStyle w:val="PlainTable1"/>
        <w:tblW w:w="5000" w:type="pct"/>
        <w:tblLook w:val="0420" w:firstRow="1" w:lastRow="0" w:firstColumn="0" w:lastColumn="0" w:noHBand="0" w:noVBand="1"/>
      </w:tblPr>
      <w:tblGrid>
        <w:gridCol w:w="3617"/>
        <w:gridCol w:w="1778"/>
        <w:gridCol w:w="2137"/>
        <w:gridCol w:w="2379"/>
      </w:tblGrid>
      <w:tr w:rsidRPr="00E50B03" w:rsidR="00196837" w:rsidTr="000229E6" w14:paraId="5CFB1C81" w14:textId="77777777">
        <w:trPr>
          <w:cnfStyle w:val="100000000000" w:firstRow="1" w:lastRow="0" w:firstColumn="0" w:lastColumn="0" w:oddVBand="0" w:evenVBand="0" w:oddHBand="0" w:evenHBand="0" w:firstRowFirstColumn="0" w:firstRowLastColumn="0" w:lastRowFirstColumn="0" w:lastRowLastColumn="0"/>
          <w:cantSplit/>
          <w:trHeight w:val="20"/>
          <w:tblHeader/>
        </w:trPr>
        <w:tc>
          <w:tcPr>
            <w:tcW w:w="1825" w:type="pct"/>
          </w:tcPr>
          <w:p w:rsidRPr="00E50B03" w:rsidR="00196837" w:rsidP="000229E6" w:rsidRDefault="00196837" w14:paraId="119212EF" w14:textId="77777777">
            <w:pPr>
              <w:spacing w:after="120"/>
              <w:rPr>
                <w:szCs w:val="20"/>
              </w:rPr>
            </w:pPr>
            <w:r w:rsidRPr="00E50B03">
              <w:rPr>
                <w:szCs w:val="20"/>
              </w:rPr>
              <w:t>Approach/Method</w:t>
            </w:r>
          </w:p>
        </w:tc>
        <w:tc>
          <w:tcPr>
            <w:tcW w:w="897" w:type="pct"/>
          </w:tcPr>
          <w:p w:rsidRPr="00E50B03" w:rsidR="00196837" w:rsidP="000229E6" w:rsidRDefault="00196837" w14:paraId="2BED08E8" w14:textId="77777777">
            <w:pPr>
              <w:spacing w:after="120"/>
              <w:rPr>
                <w:szCs w:val="20"/>
              </w:rPr>
            </w:pPr>
            <w:r w:rsidRPr="00E50B03">
              <w:rPr>
                <w:szCs w:val="20"/>
              </w:rPr>
              <w:t>Population</w:t>
            </w:r>
          </w:p>
        </w:tc>
        <w:tc>
          <w:tcPr>
            <w:tcW w:w="1078" w:type="pct"/>
          </w:tcPr>
          <w:p w:rsidRPr="00E50B03" w:rsidR="00196837" w:rsidP="000229E6" w:rsidRDefault="00196837" w14:paraId="3F7B7AF5" w14:textId="77777777">
            <w:pPr>
              <w:spacing w:after="120"/>
              <w:rPr>
                <w:szCs w:val="20"/>
              </w:rPr>
            </w:pPr>
            <w:r w:rsidRPr="00E50B03">
              <w:rPr>
                <w:szCs w:val="20"/>
              </w:rPr>
              <w:t>Data source</w:t>
            </w:r>
          </w:p>
        </w:tc>
        <w:tc>
          <w:tcPr>
            <w:tcW w:w="1200" w:type="pct"/>
          </w:tcPr>
          <w:p w:rsidRPr="00E50B03" w:rsidR="00196837" w:rsidP="000229E6" w:rsidRDefault="00196837" w14:paraId="7F28D833" w14:textId="2DE321B6">
            <w:pPr>
              <w:spacing w:after="120"/>
              <w:rPr>
                <w:szCs w:val="20"/>
              </w:rPr>
            </w:pPr>
            <w:r w:rsidRPr="00E50B03">
              <w:rPr>
                <w:szCs w:val="20"/>
              </w:rPr>
              <w:t>Research background</w:t>
            </w:r>
          </w:p>
        </w:tc>
      </w:tr>
      <w:tr w:rsidRPr="00E50B03" w:rsidR="00196837" w:rsidTr="000229E6" w14:paraId="06E5ED08" w14:textId="77777777">
        <w:trPr>
          <w:cnfStyle w:val="000000100000" w:firstRow="0" w:lastRow="0" w:firstColumn="0" w:lastColumn="0" w:oddVBand="0" w:evenVBand="0" w:oddHBand="1" w:evenHBand="0" w:firstRowFirstColumn="0" w:firstRowLastColumn="0" w:lastRowFirstColumn="0" w:lastRowLastColumn="0"/>
          <w:cantSplit/>
          <w:trHeight w:val="20"/>
        </w:trPr>
        <w:tc>
          <w:tcPr>
            <w:tcW w:w="5000" w:type="pct"/>
            <w:gridSpan w:val="4"/>
          </w:tcPr>
          <w:p w:rsidRPr="00E50B03" w:rsidR="00196837" w:rsidP="000229E6" w:rsidRDefault="00196837" w14:paraId="288163FF" w14:textId="77777777">
            <w:pPr>
              <w:spacing w:after="120"/>
              <w:jc w:val="center"/>
              <w:rPr>
                <w:szCs w:val="20"/>
              </w:rPr>
            </w:pPr>
            <w:r w:rsidRPr="00E50B03">
              <w:rPr>
                <w:szCs w:val="20"/>
              </w:rPr>
              <w:t xml:space="preserve">High relevancy </w:t>
            </w:r>
            <w:r>
              <w:rPr>
                <w:szCs w:val="20"/>
              </w:rPr>
              <w:t>and h</w:t>
            </w:r>
            <w:r w:rsidRPr="00E50B03">
              <w:rPr>
                <w:szCs w:val="20"/>
              </w:rPr>
              <w:t>igh robustness</w:t>
            </w:r>
          </w:p>
        </w:tc>
      </w:tr>
      <w:tr w:rsidRPr="00E50B03" w:rsidR="00196837" w:rsidTr="000229E6" w14:paraId="67BB16D8" w14:textId="77777777">
        <w:trPr>
          <w:cantSplit/>
          <w:trHeight w:val="20"/>
        </w:trPr>
        <w:tc>
          <w:tcPr>
            <w:tcW w:w="1825" w:type="pct"/>
          </w:tcPr>
          <w:p w:rsidRPr="00E50B03" w:rsidR="00196837" w:rsidP="000229E6" w:rsidRDefault="00196837" w14:paraId="3DC2F2A5" w14:textId="77777777">
            <w:pPr>
              <w:rPr>
                <w:szCs w:val="20"/>
              </w:rPr>
            </w:pPr>
            <w:r w:rsidRPr="00D47AB5">
              <w:rPr>
                <w:b/>
                <w:bCs/>
                <w:szCs w:val="20"/>
              </w:rPr>
              <w:t>Beaney et al. (2022)</w:t>
            </w:r>
            <w:r>
              <w:rPr>
                <w:b/>
                <w:bCs/>
                <w:szCs w:val="20"/>
                <w:vertAlign w:val="superscript"/>
              </w:rPr>
              <w:t>7</w:t>
            </w:r>
            <w:r w:rsidRPr="00D47AB5">
              <w:rPr>
                <w:b/>
                <w:bCs/>
                <w:szCs w:val="20"/>
              </w:rPr>
              <w:t>:</w:t>
            </w:r>
            <w:r>
              <w:rPr>
                <w:szCs w:val="20"/>
              </w:rPr>
              <w:t xml:space="preserve"> a catchment </w:t>
            </w:r>
            <w:r w:rsidRPr="00E50B03">
              <w:rPr>
                <w:szCs w:val="20"/>
              </w:rPr>
              <w:t>population approach; a 30% proportional flow (PF) method</w:t>
            </w:r>
            <w:r>
              <w:rPr>
                <w:szCs w:val="20"/>
              </w:rPr>
              <w:t xml:space="preserve">. </w:t>
            </w:r>
            <w:r w:rsidRPr="002277C1">
              <w:rPr>
                <w:rFonts w:cs="Arial"/>
                <w:color w:val="202124"/>
                <w:szCs w:val="24"/>
                <w:shd w:val="clear" w:color="auto" w:fill="FFFFFF"/>
              </w:rPr>
              <w:t xml:space="preserve">Any </w:t>
            </w:r>
            <w:r w:rsidRPr="00C6598C">
              <w:rPr>
                <w:rFonts w:cs="Arial"/>
                <w:szCs w:val="24"/>
                <w:shd w:val="clear" w:color="auto" w:fill="FFFFFF"/>
              </w:rPr>
              <w:t>Lower layer Super Output Areas</w:t>
            </w:r>
            <w:r w:rsidRPr="00C6598C">
              <w:rPr>
                <w:rFonts w:ascii="Roboto" w:hAnsi="Roboto"/>
                <w:sz w:val="21"/>
                <w:szCs w:val="21"/>
                <w:shd w:val="clear" w:color="auto" w:fill="FFFFFF"/>
              </w:rPr>
              <w:t xml:space="preserve"> </w:t>
            </w:r>
            <w:r>
              <w:rPr>
                <w:rFonts w:ascii="Roboto" w:hAnsi="Roboto"/>
                <w:color w:val="71777D"/>
                <w:sz w:val="21"/>
                <w:szCs w:val="21"/>
                <w:shd w:val="clear" w:color="auto" w:fill="FFFFFF"/>
              </w:rPr>
              <w:t>(</w:t>
            </w:r>
            <w:r>
              <w:rPr>
                <w:rFonts w:cs="Arial"/>
                <w:color w:val="202124"/>
                <w:szCs w:val="24"/>
                <w:shd w:val="clear" w:color="auto" w:fill="FFFFFF"/>
              </w:rPr>
              <w:t>LSOAs)</w:t>
            </w:r>
            <w:r w:rsidRPr="002277C1">
              <w:rPr>
                <w:rFonts w:cs="Arial"/>
                <w:color w:val="202124"/>
                <w:szCs w:val="24"/>
                <w:shd w:val="clear" w:color="auto" w:fill="FFFFFF"/>
              </w:rPr>
              <w:t xml:space="preserve"> where 30% or more of residents who attended any hospital for care did so at the example trust were assigned to the catchment area</w:t>
            </w:r>
          </w:p>
        </w:tc>
        <w:tc>
          <w:tcPr>
            <w:tcW w:w="897" w:type="pct"/>
          </w:tcPr>
          <w:p w:rsidRPr="00E50B03" w:rsidR="00196837" w:rsidP="000229E6" w:rsidRDefault="00196837" w14:paraId="7AE37A41" w14:textId="77777777">
            <w:pPr>
              <w:spacing w:after="120"/>
              <w:rPr>
                <w:szCs w:val="20"/>
              </w:rPr>
            </w:pPr>
            <w:r w:rsidRPr="00E50B03">
              <w:rPr>
                <w:rFonts w:cs="Arial"/>
                <w:szCs w:val="20"/>
              </w:rPr>
              <w:t>Residents in a London borough</w:t>
            </w:r>
          </w:p>
        </w:tc>
        <w:tc>
          <w:tcPr>
            <w:tcW w:w="1078" w:type="pct"/>
          </w:tcPr>
          <w:p w:rsidRPr="00E50B03" w:rsidR="00196837" w:rsidP="000229E6" w:rsidRDefault="00196837" w14:paraId="03D61969" w14:textId="77777777">
            <w:pPr>
              <w:spacing w:after="120"/>
              <w:rPr>
                <w:szCs w:val="20"/>
              </w:rPr>
            </w:pPr>
            <w:r>
              <w:rPr>
                <w:szCs w:val="20"/>
              </w:rPr>
              <w:t>Office for National Statistics (</w:t>
            </w:r>
            <w:r w:rsidRPr="00E50B03">
              <w:rPr>
                <w:szCs w:val="20"/>
              </w:rPr>
              <w:t>ONS</w:t>
            </w:r>
            <w:r>
              <w:rPr>
                <w:szCs w:val="20"/>
              </w:rPr>
              <w:t>)</w:t>
            </w:r>
            <w:r w:rsidRPr="00E50B03">
              <w:rPr>
                <w:szCs w:val="20"/>
              </w:rPr>
              <w:t xml:space="preserve"> statistics on LSOA level; </w:t>
            </w:r>
            <w:r w:rsidRPr="00790D5C">
              <w:rPr>
                <w:rFonts w:eastAsia="Arial" w:cs="Arial"/>
                <w:szCs w:val="24"/>
              </w:rPr>
              <w:t>Hospital Episode Statistics</w:t>
            </w:r>
            <w:r>
              <w:rPr>
                <w:szCs w:val="20"/>
              </w:rPr>
              <w:t xml:space="preserve"> (</w:t>
            </w:r>
            <w:r w:rsidRPr="00E50B03">
              <w:rPr>
                <w:szCs w:val="20"/>
              </w:rPr>
              <w:t>HES</w:t>
            </w:r>
            <w:r>
              <w:rPr>
                <w:szCs w:val="20"/>
              </w:rPr>
              <w:t>)</w:t>
            </w:r>
          </w:p>
        </w:tc>
        <w:tc>
          <w:tcPr>
            <w:tcW w:w="1200" w:type="pct"/>
          </w:tcPr>
          <w:p w:rsidRPr="00E50B03" w:rsidR="00196837" w:rsidP="000229E6" w:rsidRDefault="00196837" w14:paraId="4799861E" w14:textId="77777777">
            <w:pPr>
              <w:spacing w:after="120"/>
              <w:rPr>
                <w:szCs w:val="20"/>
              </w:rPr>
            </w:pPr>
            <w:r w:rsidRPr="00E50B03">
              <w:rPr>
                <w:b/>
                <w:bCs/>
                <w:szCs w:val="20"/>
              </w:rPr>
              <w:t>Empirical:</w:t>
            </w:r>
            <w:r w:rsidRPr="00E50B03">
              <w:rPr>
                <w:szCs w:val="20"/>
              </w:rPr>
              <w:t xml:space="preserve"> the PF method had been previously used in other studies and relies on publicly available data</w:t>
            </w:r>
          </w:p>
        </w:tc>
      </w:tr>
      <w:tr w:rsidRPr="00E50B03" w:rsidR="00196837" w:rsidTr="000229E6" w14:paraId="1DCC2EDD" w14:textId="77777777">
        <w:trPr>
          <w:cnfStyle w:val="000000100000" w:firstRow="0" w:lastRow="0" w:firstColumn="0" w:lastColumn="0" w:oddVBand="0" w:evenVBand="0" w:oddHBand="1" w:evenHBand="0" w:firstRowFirstColumn="0" w:firstRowLastColumn="0" w:lastRowFirstColumn="0" w:lastRowLastColumn="0"/>
          <w:cantSplit/>
          <w:trHeight w:val="20"/>
        </w:trPr>
        <w:tc>
          <w:tcPr>
            <w:tcW w:w="1825" w:type="pct"/>
          </w:tcPr>
          <w:p w:rsidRPr="00E50B03" w:rsidR="00196837" w:rsidP="000229E6" w:rsidRDefault="00196837" w14:paraId="0F685688" w14:textId="77777777">
            <w:pPr>
              <w:spacing w:after="120"/>
              <w:rPr>
                <w:szCs w:val="20"/>
              </w:rPr>
            </w:pPr>
            <w:r w:rsidRPr="00060CD9">
              <w:rPr>
                <w:b/>
                <w:bCs/>
                <w:szCs w:val="20"/>
              </w:rPr>
              <w:t>Nnoaham and Cann (2020)</w:t>
            </w:r>
            <w:r>
              <w:rPr>
                <w:b/>
                <w:bCs/>
                <w:szCs w:val="20"/>
                <w:vertAlign w:val="superscript"/>
              </w:rPr>
              <w:t>8</w:t>
            </w:r>
            <w:r w:rsidRPr="00060CD9">
              <w:rPr>
                <w:b/>
                <w:bCs/>
                <w:szCs w:val="20"/>
              </w:rPr>
              <w:t>:</w:t>
            </w:r>
            <w:r>
              <w:rPr>
                <w:szCs w:val="20"/>
              </w:rPr>
              <w:t xml:space="preserve"> a</w:t>
            </w:r>
            <w:r w:rsidRPr="00E50B03">
              <w:rPr>
                <w:szCs w:val="20"/>
              </w:rPr>
              <w:t xml:space="preserve"> data-driven approach to population segmentation using utilisation-based cluster analysis</w:t>
            </w:r>
            <w:r>
              <w:rPr>
                <w:szCs w:val="20"/>
              </w:rPr>
              <w:t xml:space="preserve"> and </w:t>
            </w:r>
            <w:r w:rsidRPr="002277C1">
              <w:rPr>
                <w:rFonts w:cs="Arial"/>
                <w:color w:val="202124"/>
                <w:szCs w:val="24"/>
                <w:shd w:val="clear" w:color="auto" w:fill="FFFFFF"/>
              </w:rPr>
              <w:t>k</w:t>
            </w:r>
            <w:r w:rsidRPr="00E266A3">
              <w:rPr>
                <w:szCs w:val="20"/>
              </w:rPr>
              <w:t>-means methodology to group the population into segments with distinct healthcare utilisation patterns based on seven utilisation variables</w:t>
            </w:r>
          </w:p>
        </w:tc>
        <w:tc>
          <w:tcPr>
            <w:tcW w:w="897" w:type="pct"/>
          </w:tcPr>
          <w:p w:rsidRPr="00E50B03" w:rsidR="00196837" w:rsidP="000229E6" w:rsidRDefault="00196837" w14:paraId="30CC4EC3" w14:textId="77777777">
            <w:pPr>
              <w:spacing w:after="120"/>
              <w:rPr>
                <w:szCs w:val="20"/>
              </w:rPr>
            </w:pPr>
            <w:r>
              <w:rPr>
                <w:szCs w:val="20"/>
              </w:rPr>
              <w:t xml:space="preserve">A </w:t>
            </w:r>
            <w:r w:rsidRPr="00E50B03">
              <w:rPr>
                <w:szCs w:val="20"/>
              </w:rPr>
              <w:t>local GP-registered population in Wales</w:t>
            </w:r>
          </w:p>
        </w:tc>
        <w:tc>
          <w:tcPr>
            <w:tcW w:w="1078" w:type="pct"/>
          </w:tcPr>
          <w:p w:rsidRPr="00E50B03" w:rsidR="00196837" w:rsidP="000229E6" w:rsidRDefault="00196837" w14:paraId="28F660E3" w14:textId="77777777">
            <w:pPr>
              <w:spacing w:after="120"/>
              <w:rPr>
                <w:szCs w:val="20"/>
              </w:rPr>
            </w:pPr>
            <w:r w:rsidRPr="00E50B03">
              <w:rPr>
                <w:szCs w:val="20"/>
              </w:rPr>
              <w:t>Patients records from primary and secondary care datasets</w:t>
            </w:r>
          </w:p>
        </w:tc>
        <w:tc>
          <w:tcPr>
            <w:tcW w:w="1200" w:type="pct"/>
          </w:tcPr>
          <w:p w:rsidRPr="00E50B03" w:rsidR="00196837" w:rsidP="000229E6" w:rsidRDefault="00196837" w14:paraId="0EEFBA56" w14:textId="77777777">
            <w:pPr>
              <w:spacing w:after="120"/>
              <w:rPr>
                <w:szCs w:val="20"/>
              </w:rPr>
            </w:pPr>
            <w:r w:rsidRPr="00E50B03">
              <w:rPr>
                <w:b/>
                <w:bCs/>
                <w:szCs w:val="20"/>
              </w:rPr>
              <w:t>Empirical:</w:t>
            </w:r>
            <w:r w:rsidRPr="00E50B03">
              <w:rPr>
                <w:szCs w:val="20"/>
              </w:rPr>
              <w:t xml:space="preserve"> previous explorations of using utilisation-based cluster analysis for segmentation</w:t>
            </w:r>
          </w:p>
        </w:tc>
      </w:tr>
      <w:tr w:rsidRPr="00E50B03" w:rsidR="00196837" w:rsidTr="000229E6" w14:paraId="771635AC" w14:textId="77777777">
        <w:trPr>
          <w:cantSplit/>
          <w:trHeight w:val="20"/>
        </w:trPr>
        <w:tc>
          <w:tcPr>
            <w:tcW w:w="1825" w:type="pct"/>
          </w:tcPr>
          <w:p w:rsidRPr="00E50B03" w:rsidR="00196837" w:rsidP="000229E6" w:rsidRDefault="00196837" w14:paraId="3D2EA1E9" w14:textId="77777777">
            <w:pPr>
              <w:spacing w:after="120"/>
              <w:rPr>
                <w:szCs w:val="20"/>
              </w:rPr>
            </w:pPr>
            <w:r w:rsidRPr="00060CD9">
              <w:rPr>
                <w:b/>
                <w:bCs/>
                <w:szCs w:val="20"/>
              </w:rPr>
              <w:t>Saunders et al. (2019)</w:t>
            </w:r>
            <w:r>
              <w:rPr>
                <w:b/>
                <w:bCs/>
                <w:szCs w:val="20"/>
                <w:vertAlign w:val="superscript"/>
              </w:rPr>
              <w:t>9</w:t>
            </w:r>
            <w:r w:rsidRPr="00060CD9">
              <w:rPr>
                <w:b/>
                <w:bCs/>
                <w:szCs w:val="20"/>
              </w:rPr>
              <w:t>:</w:t>
            </w:r>
            <w:r>
              <w:rPr>
                <w:szCs w:val="20"/>
              </w:rPr>
              <w:t xml:space="preserve"> secondary data and </w:t>
            </w:r>
            <w:r w:rsidRPr="0039791D">
              <w:rPr>
                <w:szCs w:val="20"/>
              </w:rPr>
              <w:t>Statistical</w:t>
            </w:r>
            <w:r>
              <w:rPr>
                <w:szCs w:val="20"/>
              </w:rPr>
              <w:t xml:space="preserve"> </w:t>
            </w:r>
            <w:r w:rsidRPr="0039791D">
              <w:rPr>
                <w:szCs w:val="20"/>
              </w:rPr>
              <w:t>Control Charts</w:t>
            </w:r>
          </w:p>
        </w:tc>
        <w:tc>
          <w:tcPr>
            <w:tcW w:w="897" w:type="pct"/>
          </w:tcPr>
          <w:p w:rsidRPr="00E50B03" w:rsidR="00196837" w:rsidP="000229E6" w:rsidRDefault="00196837" w14:paraId="41064861" w14:textId="77777777">
            <w:pPr>
              <w:spacing w:after="120"/>
              <w:rPr>
                <w:szCs w:val="20"/>
              </w:rPr>
            </w:pPr>
            <w:r>
              <w:rPr>
                <w:szCs w:val="20"/>
              </w:rPr>
              <w:t xml:space="preserve">Residents in </w:t>
            </w:r>
            <w:r w:rsidRPr="0039791D">
              <w:rPr>
                <w:szCs w:val="20"/>
              </w:rPr>
              <w:t>Welsh House Farm estate in Birmingham</w:t>
            </w:r>
          </w:p>
        </w:tc>
        <w:tc>
          <w:tcPr>
            <w:tcW w:w="1078" w:type="pct"/>
          </w:tcPr>
          <w:p w:rsidRPr="00E50B03" w:rsidR="00196837" w:rsidP="000229E6" w:rsidRDefault="00196837" w14:paraId="291377D3" w14:textId="77777777">
            <w:pPr>
              <w:spacing w:after="120"/>
              <w:rPr>
                <w:szCs w:val="20"/>
              </w:rPr>
            </w:pPr>
            <w:r w:rsidRPr="0039791D">
              <w:rPr>
                <w:szCs w:val="20"/>
              </w:rPr>
              <w:t>Birmingham City Council,</w:t>
            </w:r>
            <w:r>
              <w:rPr>
                <w:szCs w:val="20"/>
              </w:rPr>
              <w:t xml:space="preserve"> </w:t>
            </w:r>
            <w:r w:rsidRPr="0039791D">
              <w:rPr>
                <w:szCs w:val="20"/>
              </w:rPr>
              <w:t>West Midlands Police,</w:t>
            </w:r>
            <w:r>
              <w:rPr>
                <w:szCs w:val="20"/>
              </w:rPr>
              <w:t xml:space="preserve"> </w:t>
            </w:r>
            <w:r w:rsidRPr="0039791D">
              <w:rPr>
                <w:szCs w:val="20"/>
              </w:rPr>
              <w:t xml:space="preserve">West Midlands Fire Service, ONS, </w:t>
            </w:r>
            <w:r>
              <w:rPr>
                <w:szCs w:val="20"/>
              </w:rPr>
              <w:t>PHE</w:t>
            </w:r>
            <w:r w:rsidRPr="0039791D">
              <w:rPr>
                <w:szCs w:val="20"/>
              </w:rPr>
              <w:t xml:space="preserve">, </w:t>
            </w:r>
            <w:r>
              <w:rPr>
                <w:szCs w:val="20"/>
              </w:rPr>
              <w:t>National Health Service (</w:t>
            </w:r>
            <w:r w:rsidRPr="0039791D">
              <w:rPr>
                <w:szCs w:val="20"/>
              </w:rPr>
              <w:t>NHS</w:t>
            </w:r>
            <w:r>
              <w:rPr>
                <w:szCs w:val="20"/>
              </w:rPr>
              <w:t>)</w:t>
            </w:r>
            <w:r w:rsidRPr="0039791D">
              <w:rPr>
                <w:szCs w:val="20"/>
              </w:rPr>
              <w:t xml:space="preserve"> Digital</w:t>
            </w:r>
            <w:r>
              <w:rPr>
                <w:szCs w:val="20"/>
              </w:rPr>
              <w:t xml:space="preserve">, </w:t>
            </w:r>
            <w:r w:rsidRPr="0039791D">
              <w:rPr>
                <w:szCs w:val="20"/>
              </w:rPr>
              <w:t>N</w:t>
            </w:r>
            <w:r>
              <w:rPr>
                <w:szCs w:val="20"/>
              </w:rPr>
              <w:t xml:space="preserve">omis service by ONS, </w:t>
            </w:r>
            <w:r w:rsidRPr="0039791D">
              <w:rPr>
                <w:szCs w:val="20"/>
              </w:rPr>
              <w:t xml:space="preserve">Migration </w:t>
            </w:r>
            <w:r>
              <w:rPr>
                <w:szCs w:val="20"/>
              </w:rPr>
              <w:t>O</w:t>
            </w:r>
            <w:r w:rsidRPr="0039791D">
              <w:rPr>
                <w:szCs w:val="20"/>
              </w:rPr>
              <w:t>bservatory,</w:t>
            </w:r>
            <w:r>
              <w:rPr>
                <w:szCs w:val="20"/>
              </w:rPr>
              <w:t xml:space="preserve"> </w:t>
            </w:r>
            <w:r>
              <w:rPr>
                <w:rFonts w:eastAsia="Arial" w:cs="Arial"/>
                <w:szCs w:val="24"/>
              </w:rPr>
              <w:t>Department for Education</w:t>
            </w:r>
            <w:r>
              <w:rPr>
                <w:szCs w:val="20"/>
              </w:rPr>
              <w:t xml:space="preserve"> (DfE)</w:t>
            </w:r>
          </w:p>
        </w:tc>
        <w:tc>
          <w:tcPr>
            <w:tcW w:w="1200" w:type="pct"/>
          </w:tcPr>
          <w:p w:rsidRPr="00E50B03" w:rsidR="00196837" w:rsidP="000229E6" w:rsidRDefault="00196837" w14:paraId="6AE8912C" w14:textId="77777777">
            <w:pPr>
              <w:spacing w:after="120"/>
              <w:rPr>
                <w:b/>
                <w:bCs/>
                <w:szCs w:val="20"/>
                <w:highlight w:val="yellow"/>
              </w:rPr>
            </w:pPr>
            <w:r>
              <w:rPr>
                <w:b/>
                <w:bCs/>
                <w:szCs w:val="20"/>
              </w:rPr>
              <w:t xml:space="preserve">Hybrid: </w:t>
            </w:r>
            <w:r>
              <w:rPr>
                <w:szCs w:val="20"/>
              </w:rPr>
              <w:t>relies on previous theory to generate the hypotheses; uses data to examine it</w:t>
            </w:r>
          </w:p>
        </w:tc>
      </w:tr>
      <w:tr w:rsidRPr="00E50B03" w:rsidR="00196837" w:rsidTr="000229E6" w14:paraId="2B45B045" w14:textId="77777777">
        <w:trPr>
          <w:cnfStyle w:val="000000100000" w:firstRow="0" w:lastRow="0" w:firstColumn="0" w:lastColumn="0" w:oddVBand="0" w:evenVBand="0" w:oddHBand="1" w:evenHBand="0" w:firstRowFirstColumn="0" w:firstRowLastColumn="0" w:lastRowFirstColumn="0" w:lastRowLastColumn="0"/>
          <w:cantSplit/>
          <w:trHeight w:val="20"/>
        </w:trPr>
        <w:tc>
          <w:tcPr>
            <w:tcW w:w="5000" w:type="pct"/>
            <w:gridSpan w:val="4"/>
          </w:tcPr>
          <w:p w:rsidRPr="00E50B03" w:rsidR="00196837" w:rsidP="000229E6" w:rsidRDefault="00196837" w14:paraId="2A160EE2" w14:textId="77777777">
            <w:pPr>
              <w:spacing w:after="120"/>
              <w:jc w:val="center"/>
              <w:rPr>
                <w:szCs w:val="20"/>
              </w:rPr>
            </w:pPr>
            <w:r w:rsidRPr="00E50B03">
              <w:rPr>
                <w:szCs w:val="20"/>
              </w:rPr>
              <w:t xml:space="preserve">High relevancy </w:t>
            </w:r>
            <w:r>
              <w:rPr>
                <w:szCs w:val="20"/>
              </w:rPr>
              <w:t>and m</w:t>
            </w:r>
            <w:r w:rsidRPr="00E50B03">
              <w:rPr>
                <w:szCs w:val="20"/>
              </w:rPr>
              <w:t>oderate robustness</w:t>
            </w:r>
          </w:p>
        </w:tc>
      </w:tr>
      <w:tr w:rsidRPr="00E50B03" w:rsidR="00196837" w:rsidTr="000229E6" w14:paraId="4313B79E" w14:textId="77777777">
        <w:trPr>
          <w:cantSplit/>
          <w:trHeight w:val="20"/>
        </w:trPr>
        <w:tc>
          <w:tcPr>
            <w:tcW w:w="1825" w:type="pct"/>
          </w:tcPr>
          <w:p w:rsidR="00196837" w:rsidP="000229E6" w:rsidRDefault="00196837" w14:paraId="2B881B70" w14:textId="77777777">
            <w:pPr>
              <w:rPr>
                <w:szCs w:val="20"/>
              </w:rPr>
            </w:pPr>
            <w:r w:rsidRPr="00D47AB5">
              <w:rPr>
                <w:b/>
                <w:bCs/>
                <w:szCs w:val="20"/>
              </w:rPr>
              <w:t>Jessiman et al. (2021)</w:t>
            </w:r>
            <w:r w:rsidRPr="004A02C1">
              <w:rPr>
                <w:b/>
                <w:bCs/>
                <w:szCs w:val="20"/>
                <w:vertAlign w:val="superscript"/>
              </w:rPr>
              <w:t>1</w:t>
            </w:r>
            <w:r>
              <w:rPr>
                <w:b/>
                <w:bCs/>
                <w:szCs w:val="20"/>
                <w:vertAlign w:val="superscript"/>
              </w:rPr>
              <w:t>0</w:t>
            </w:r>
            <w:r w:rsidRPr="00D47AB5">
              <w:rPr>
                <w:b/>
                <w:bCs/>
                <w:szCs w:val="20"/>
              </w:rPr>
              <w:t>:</w:t>
            </w:r>
            <w:r>
              <w:rPr>
                <w:szCs w:val="20"/>
              </w:rPr>
              <w:t xml:space="preserve"> a</w:t>
            </w:r>
            <w:r w:rsidRPr="00E50B03">
              <w:rPr>
                <w:szCs w:val="20"/>
              </w:rPr>
              <w:t xml:space="preserve"> systems thinking approach; a group concept mapping</w:t>
            </w:r>
          </w:p>
          <w:p w:rsidRPr="00E50B03" w:rsidR="00196837" w:rsidP="000229E6" w:rsidRDefault="00196837" w14:paraId="1F915F65" w14:textId="77777777">
            <w:pPr>
              <w:spacing w:after="120"/>
              <w:rPr>
                <w:szCs w:val="20"/>
              </w:rPr>
            </w:pPr>
            <w:r w:rsidRPr="00E266A3">
              <w:rPr>
                <w:szCs w:val="20"/>
              </w:rPr>
              <w:t>Commonalities between two area-specific system maps (and removal of locality-specific factors) were used to develop a map that could be applied in any English local area</w:t>
            </w:r>
          </w:p>
        </w:tc>
        <w:tc>
          <w:tcPr>
            <w:tcW w:w="897" w:type="pct"/>
          </w:tcPr>
          <w:p w:rsidRPr="00E50B03" w:rsidR="00196837" w:rsidP="000229E6" w:rsidRDefault="00196837" w14:paraId="27057903" w14:textId="77777777">
            <w:pPr>
              <w:spacing w:after="120"/>
              <w:rPr>
                <w:szCs w:val="20"/>
              </w:rPr>
            </w:pPr>
            <w:r w:rsidRPr="00E50B03">
              <w:rPr>
                <w:szCs w:val="20"/>
              </w:rPr>
              <w:t>Children from two local authorities in England</w:t>
            </w:r>
          </w:p>
        </w:tc>
        <w:tc>
          <w:tcPr>
            <w:tcW w:w="1078" w:type="pct"/>
          </w:tcPr>
          <w:p w:rsidRPr="00E50B03" w:rsidR="00196837" w:rsidP="000229E6" w:rsidRDefault="00196837" w14:paraId="18004155" w14:textId="77777777">
            <w:pPr>
              <w:spacing w:after="120"/>
              <w:rPr>
                <w:szCs w:val="20"/>
              </w:rPr>
            </w:pPr>
            <w:r>
              <w:rPr>
                <w:szCs w:val="20"/>
              </w:rPr>
              <w:t>N/A (primary research)</w:t>
            </w:r>
          </w:p>
        </w:tc>
        <w:tc>
          <w:tcPr>
            <w:tcW w:w="1200" w:type="pct"/>
          </w:tcPr>
          <w:p w:rsidRPr="00E50B03" w:rsidR="00196837" w:rsidP="000229E6" w:rsidRDefault="00196837" w14:paraId="5CD71A2A" w14:textId="77777777">
            <w:pPr>
              <w:spacing w:after="120"/>
              <w:rPr>
                <w:szCs w:val="20"/>
              </w:rPr>
            </w:pPr>
            <w:r w:rsidRPr="00E50B03">
              <w:rPr>
                <w:b/>
                <w:bCs/>
                <w:szCs w:val="20"/>
              </w:rPr>
              <w:t>Theoretical:</w:t>
            </w:r>
            <w:r w:rsidRPr="00E50B03">
              <w:rPr>
                <w:szCs w:val="20"/>
              </w:rPr>
              <w:t xml:space="preserve"> using the systems thinking approach </w:t>
            </w:r>
            <w:r w:rsidRPr="00A5479E">
              <w:rPr>
                <w:szCs w:val="24"/>
              </w:rPr>
              <w:t>and Goldfield et al’s (</w:t>
            </w:r>
            <w:r w:rsidRPr="004138FE">
              <w:rPr>
                <w:szCs w:val="24"/>
              </w:rPr>
              <w:t>2015</w:t>
            </w:r>
            <w:r w:rsidRPr="009F7B81">
              <w:rPr>
                <w:szCs w:val="24"/>
              </w:rPr>
              <w:t>)</w:t>
            </w:r>
            <w:r w:rsidRPr="00011D03">
              <w:rPr>
                <w:szCs w:val="24"/>
                <w:vertAlign w:val="superscript"/>
              </w:rPr>
              <w:t>11</w:t>
            </w:r>
            <w:r w:rsidRPr="009F7B81">
              <w:rPr>
                <w:szCs w:val="24"/>
              </w:rPr>
              <w:t xml:space="preserve"> </w:t>
            </w:r>
            <w:r w:rsidRPr="00A5479E">
              <w:rPr>
                <w:szCs w:val="24"/>
              </w:rPr>
              <w:t>conceptual model of neighbourhood effects influencing early childhood; Kane and Trochim’s (</w:t>
            </w:r>
            <w:r w:rsidRPr="004138FE">
              <w:rPr>
                <w:szCs w:val="24"/>
              </w:rPr>
              <w:t>2007</w:t>
            </w:r>
            <w:r w:rsidRPr="00A5479E">
              <w:rPr>
                <w:szCs w:val="24"/>
              </w:rPr>
              <w:t>)</w:t>
            </w:r>
            <w:r w:rsidRPr="00011D03">
              <w:rPr>
                <w:szCs w:val="24"/>
                <w:vertAlign w:val="superscript"/>
              </w:rPr>
              <w:t>12</w:t>
            </w:r>
            <w:r w:rsidRPr="00A5479E">
              <w:rPr>
                <w:szCs w:val="20"/>
              </w:rPr>
              <w:t xml:space="preserve"> </w:t>
            </w:r>
            <w:r w:rsidRPr="00E50B03">
              <w:rPr>
                <w:szCs w:val="20"/>
              </w:rPr>
              <w:t>group concept mapping approach</w:t>
            </w:r>
          </w:p>
        </w:tc>
      </w:tr>
    </w:tbl>
    <w:p w:rsidR="00196837" w:rsidP="00196837" w:rsidRDefault="00196837" w14:paraId="6677F3A0" w14:textId="77777777">
      <w:r>
        <w:br w:type="page"/>
      </w:r>
    </w:p>
    <w:tbl>
      <w:tblPr>
        <w:tblStyle w:val="PlainTable1"/>
        <w:tblW w:w="5000" w:type="pct"/>
        <w:tblLook w:val="0420" w:firstRow="1" w:lastRow="0" w:firstColumn="0" w:lastColumn="0" w:noHBand="0" w:noVBand="1"/>
      </w:tblPr>
      <w:tblGrid>
        <w:gridCol w:w="3644"/>
        <w:gridCol w:w="1750"/>
        <w:gridCol w:w="2111"/>
        <w:gridCol w:w="2406"/>
      </w:tblGrid>
      <w:tr w:rsidRPr="00E50B03" w:rsidR="00196837" w:rsidTr="000229E6" w14:paraId="4095AF17" w14:textId="77777777">
        <w:trPr>
          <w:cnfStyle w:val="100000000000" w:firstRow="1" w:lastRow="0" w:firstColumn="0" w:lastColumn="0" w:oddVBand="0" w:evenVBand="0" w:oddHBand="0" w:evenHBand="0" w:firstRowFirstColumn="0" w:firstRowLastColumn="0" w:lastRowFirstColumn="0" w:lastRowLastColumn="0"/>
          <w:cantSplit/>
          <w:trHeight w:val="20"/>
        </w:trPr>
        <w:tc>
          <w:tcPr>
            <w:tcW w:w="5000" w:type="pct"/>
            <w:gridSpan w:val="4"/>
          </w:tcPr>
          <w:p w:rsidRPr="00E50B03" w:rsidR="00196837" w:rsidP="000229E6" w:rsidRDefault="00196837" w14:paraId="22CA290D" w14:textId="77777777">
            <w:pPr>
              <w:spacing w:after="120"/>
              <w:jc w:val="center"/>
              <w:rPr>
                <w:szCs w:val="20"/>
              </w:rPr>
            </w:pPr>
            <w:r w:rsidRPr="00E50B03">
              <w:rPr>
                <w:szCs w:val="20"/>
              </w:rPr>
              <w:t xml:space="preserve">High relevancy </w:t>
            </w:r>
            <w:r>
              <w:rPr>
                <w:szCs w:val="20"/>
              </w:rPr>
              <w:t>and g</w:t>
            </w:r>
            <w:r w:rsidRPr="00E50B03">
              <w:rPr>
                <w:szCs w:val="20"/>
              </w:rPr>
              <w:t>rey literature</w:t>
            </w:r>
          </w:p>
        </w:tc>
      </w:tr>
      <w:tr w:rsidRPr="00E50B03" w:rsidR="00196837" w:rsidTr="000229E6" w14:paraId="01087769" w14:textId="77777777">
        <w:trPr>
          <w:cnfStyle w:val="000000100000" w:firstRow="0" w:lastRow="0" w:firstColumn="0" w:lastColumn="0" w:oddVBand="0" w:evenVBand="0" w:oddHBand="1" w:evenHBand="0" w:firstRowFirstColumn="0" w:firstRowLastColumn="0" w:lastRowFirstColumn="0" w:lastRowLastColumn="0"/>
          <w:cantSplit/>
          <w:trHeight w:val="20"/>
        </w:trPr>
        <w:tc>
          <w:tcPr>
            <w:tcW w:w="1838" w:type="pct"/>
          </w:tcPr>
          <w:p w:rsidRPr="00E50B03" w:rsidR="00196837" w:rsidP="000229E6" w:rsidRDefault="00196837" w14:paraId="496AD740" w14:textId="77777777">
            <w:pPr>
              <w:rPr>
                <w:szCs w:val="20"/>
              </w:rPr>
            </w:pPr>
            <w:r w:rsidRPr="00D63795">
              <w:rPr>
                <w:b/>
                <w:bCs/>
                <w:szCs w:val="20"/>
              </w:rPr>
              <w:t>The Strategy Unit (2022)</w:t>
            </w:r>
            <w:r w:rsidRPr="004A02C1">
              <w:rPr>
                <w:b/>
                <w:bCs/>
                <w:szCs w:val="20"/>
                <w:vertAlign w:val="superscript"/>
              </w:rPr>
              <w:t>1</w:t>
            </w:r>
            <w:r>
              <w:rPr>
                <w:b/>
                <w:bCs/>
                <w:szCs w:val="20"/>
                <w:vertAlign w:val="superscript"/>
              </w:rPr>
              <w:t>1</w:t>
            </w:r>
            <w:r w:rsidRPr="00D63795">
              <w:rPr>
                <w:b/>
                <w:bCs/>
                <w:szCs w:val="20"/>
              </w:rPr>
              <w:t>:</w:t>
            </w:r>
            <w:r>
              <w:rPr>
                <w:szCs w:val="20"/>
              </w:rPr>
              <w:t xml:space="preserve"> </w:t>
            </w:r>
            <w:r w:rsidRPr="00E50B03">
              <w:rPr>
                <w:szCs w:val="20"/>
              </w:rPr>
              <w:t xml:space="preserve">The </w:t>
            </w:r>
            <w:r>
              <w:rPr>
                <w:szCs w:val="20"/>
              </w:rPr>
              <w:t>R</w:t>
            </w:r>
            <w:r w:rsidRPr="00E50B03">
              <w:rPr>
                <w:szCs w:val="20"/>
              </w:rPr>
              <w:t xml:space="preserve">elative </w:t>
            </w:r>
            <w:r>
              <w:rPr>
                <w:szCs w:val="20"/>
              </w:rPr>
              <w:t>I</w:t>
            </w:r>
            <w:r w:rsidRPr="00E50B03">
              <w:rPr>
                <w:szCs w:val="20"/>
              </w:rPr>
              <w:t xml:space="preserve">ndex of </w:t>
            </w:r>
            <w:r>
              <w:rPr>
                <w:szCs w:val="20"/>
              </w:rPr>
              <w:t>I</w:t>
            </w:r>
            <w:r w:rsidRPr="00E50B03">
              <w:rPr>
                <w:szCs w:val="20"/>
              </w:rPr>
              <w:t>nequalities (RII) - the extent to which the rate of an activity or event varies across socio-economic groups defined by deciles of deprivation</w:t>
            </w:r>
            <w:r>
              <w:rPr>
                <w:szCs w:val="20"/>
              </w:rPr>
              <w:t xml:space="preserve">. </w:t>
            </w:r>
            <w:r w:rsidRPr="00E266A3">
              <w:rPr>
                <w:szCs w:val="20"/>
              </w:rPr>
              <w:t>Whilst similar to the range, it takes into account the values for all deprivation deciles as well as the population size of each group, such that smaller groups do not unduly skew the results.</w:t>
            </w:r>
          </w:p>
        </w:tc>
        <w:tc>
          <w:tcPr>
            <w:tcW w:w="883" w:type="pct"/>
          </w:tcPr>
          <w:p w:rsidRPr="00E50B03" w:rsidR="00196837" w:rsidP="000229E6" w:rsidRDefault="00196837" w14:paraId="22D0A08C" w14:textId="77777777">
            <w:pPr>
              <w:spacing w:after="120"/>
              <w:rPr>
                <w:szCs w:val="20"/>
              </w:rPr>
            </w:pPr>
            <w:r w:rsidRPr="00E50B03">
              <w:rPr>
                <w:szCs w:val="20"/>
              </w:rPr>
              <w:t>Patients with coronary heart disease (CHD) at LSOA level in England</w:t>
            </w:r>
          </w:p>
        </w:tc>
        <w:tc>
          <w:tcPr>
            <w:tcW w:w="1065" w:type="pct"/>
          </w:tcPr>
          <w:p w:rsidRPr="00E50B03" w:rsidR="00196837" w:rsidP="000229E6" w:rsidRDefault="00196837" w14:paraId="38ABDCB9" w14:textId="77777777">
            <w:pPr>
              <w:spacing w:after="120"/>
              <w:rPr>
                <w:szCs w:val="20"/>
              </w:rPr>
            </w:pPr>
            <w:r w:rsidRPr="00E50B03">
              <w:rPr>
                <w:color w:val="2C2822"/>
                <w:szCs w:val="20"/>
              </w:rPr>
              <w:t xml:space="preserve">The </w:t>
            </w:r>
            <w:r w:rsidRPr="003315B3">
              <w:rPr>
                <w:rFonts w:eastAsia="Arial" w:cs="Arial"/>
                <w:szCs w:val="24"/>
              </w:rPr>
              <w:t>Quality Outcomes Framework</w:t>
            </w:r>
            <w:r w:rsidRPr="00E50B03">
              <w:rPr>
                <w:color w:val="2C2822"/>
                <w:szCs w:val="20"/>
              </w:rPr>
              <w:t xml:space="preserve"> </w:t>
            </w:r>
            <w:r>
              <w:rPr>
                <w:color w:val="2C2822"/>
                <w:szCs w:val="20"/>
              </w:rPr>
              <w:t>(</w:t>
            </w:r>
            <w:r w:rsidRPr="00E50B03">
              <w:rPr>
                <w:color w:val="2C2822"/>
                <w:szCs w:val="20"/>
              </w:rPr>
              <w:t>QOF</w:t>
            </w:r>
            <w:r>
              <w:rPr>
                <w:color w:val="2C2822"/>
                <w:szCs w:val="20"/>
              </w:rPr>
              <w:t>)</w:t>
            </w:r>
            <w:r w:rsidRPr="00E50B03">
              <w:rPr>
                <w:color w:val="2C2822"/>
                <w:szCs w:val="20"/>
              </w:rPr>
              <w:t xml:space="preserve"> data via Fingertips; the Personalised Care Adjustment (PCA) data; </w:t>
            </w:r>
            <w:r>
              <w:rPr>
                <w:color w:val="2C2822"/>
                <w:szCs w:val="20"/>
              </w:rPr>
              <w:t>HES</w:t>
            </w:r>
            <w:r w:rsidRPr="00E50B03">
              <w:rPr>
                <w:color w:val="2C2822"/>
                <w:szCs w:val="20"/>
              </w:rPr>
              <w:t xml:space="preserve">; the </w:t>
            </w:r>
            <w:r w:rsidRPr="0098084C">
              <w:rPr>
                <w:color w:val="2C2822"/>
                <w:szCs w:val="20"/>
              </w:rPr>
              <w:t xml:space="preserve">National Audit of Cardiac Rehabilitation </w:t>
            </w:r>
            <w:r>
              <w:rPr>
                <w:color w:val="2C2822"/>
                <w:szCs w:val="20"/>
              </w:rPr>
              <w:t>(</w:t>
            </w:r>
            <w:r w:rsidRPr="00E50B03">
              <w:rPr>
                <w:szCs w:val="20"/>
              </w:rPr>
              <w:t>NACR</w:t>
            </w:r>
            <w:r>
              <w:rPr>
                <w:szCs w:val="20"/>
              </w:rPr>
              <w:t>)</w:t>
            </w:r>
            <w:r w:rsidRPr="00E50B03">
              <w:rPr>
                <w:szCs w:val="20"/>
              </w:rPr>
              <w:t xml:space="preserve"> data on cardiac rehabilitation; the ONS Death records</w:t>
            </w:r>
          </w:p>
        </w:tc>
        <w:tc>
          <w:tcPr>
            <w:tcW w:w="1214" w:type="pct"/>
          </w:tcPr>
          <w:p w:rsidRPr="00E50B03" w:rsidR="00196837" w:rsidP="000229E6" w:rsidRDefault="00196837" w14:paraId="343F7216" w14:textId="77777777">
            <w:pPr>
              <w:spacing w:after="120"/>
              <w:rPr>
                <w:szCs w:val="20"/>
              </w:rPr>
            </w:pPr>
            <w:r w:rsidRPr="00E50B03">
              <w:rPr>
                <w:b/>
                <w:bCs/>
                <w:szCs w:val="20"/>
              </w:rPr>
              <w:t>Empirical:</w:t>
            </w:r>
            <w:r w:rsidRPr="00E50B03">
              <w:rPr>
                <w:szCs w:val="20"/>
              </w:rPr>
              <w:t xml:space="preserve"> the RII is a commonly used measures in health inequalities </w:t>
            </w:r>
          </w:p>
        </w:tc>
      </w:tr>
      <w:tr w:rsidRPr="00E50B03" w:rsidR="00196837" w:rsidTr="000229E6" w14:paraId="298BB5F9" w14:textId="77777777">
        <w:trPr>
          <w:cantSplit/>
          <w:trHeight w:val="20"/>
        </w:trPr>
        <w:tc>
          <w:tcPr>
            <w:tcW w:w="1838" w:type="pct"/>
          </w:tcPr>
          <w:p w:rsidRPr="00E50B03" w:rsidR="00196837" w:rsidP="000229E6" w:rsidRDefault="00196837" w14:paraId="3CD99A36" w14:textId="77777777">
            <w:pPr>
              <w:spacing w:after="120"/>
              <w:rPr>
                <w:szCs w:val="20"/>
              </w:rPr>
            </w:pPr>
            <w:r w:rsidRPr="00AA065B">
              <w:rPr>
                <w:b/>
                <w:bCs/>
                <w:szCs w:val="20"/>
              </w:rPr>
              <w:t>The Health Foundation (2022)</w:t>
            </w:r>
            <w:r w:rsidRPr="004A02C1">
              <w:rPr>
                <w:b/>
                <w:bCs/>
                <w:szCs w:val="20"/>
                <w:vertAlign w:val="superscript"/>
              </w:rPr>
              <w:t>1</w:t>
            </w:r>
            <w:r>
              <w:rPr>
                <w:b/>
                <w:bCs/>
                <w:szCs w:val="20"/>
                <w:vertAlign w:val="superscript"/>
              </w:rPr>
              <w:t>2</w:t>
            </w:r>
            <w:r w:rsidRPr="00AA065B">
              <w:rPr>
                <w:b/>
                <w:bCs/>
                <w:szCs w:val="20"/>
              </w:rPr>
              <w:t>:</w:t>
            </w:r>
            <w:r>
              <w:rPr>
                <w:szCs w:val="20"/>
              </w:rPr>
              <w:t xml:space="preserve"> n</w:t>
            </w:r>
            <w:r w:rsidRPr="00E50B03">
              <w:rPr>
                <w:szCs w:val="20"/>
              </w:rPr>
              <w:t>et migration and residential mobility</w:t>
            </w:r>
          </w:p>
        </w:tc>
        <w:tc>
          <w:tcPr>
            <w:tcW w:w="883" w:type="pct"/>
          </w:tcPr>
          <w:p w:rsidRPr="00E50B03" w:rsidR="00196837" w:rsidP="000229E6" w:rsidRDefault="00196837" w14:paraId="02FDE3C3" w14:textId="77777777">
            <w:pPr>
              <w:spacing w:after="120"/>
              <w:rPr>
                <w:szCs w:val="20"/>
              </w:rPr>
            </w:pPr>
            <w:r w:rsidRPr="00E50B03">
              <w:rPr>
                <w:szCs w:val="20"/>
              </w:rPr>
              <w:t>All residents at LSOA level</w:t>
            </w:r>
          </w:p>
        </w:tc>
        <w:tc>
          <w:tcPr>
            <w:tcW w:w="1065" w:type="pct"/>
          </w:tcPr>
          <w:p w:rsidRPr="00E50B03" w:rsidR="00196837" w:rsidP="000229E6" w:rsidRDefault="00196837" w14:paraId="61175C1F" w14:textId="77777777">
            <w:pPr>
              <w:spacing w:after="120"/>
              <w:rPr>
                <w:szCs w:val="20"/>
              </w:rPr>
            </w:pPr>
            <w:r w:rsidRPr="00E50B03">
              <w:rPr>
                <w:szCs w:val="20"/>
              </w:rPr>
              <w:t>Open access area-level data on migration from the 2011 census for England and Wales</w:t>
            </w:r>
          </w:p>
        </w:tc>
        <w:tc>
          <w:tcPr>
            <w:tcW w:w="1214" w:type="pct"/>
          </w:tcPr>
          <w:p w:rsidRPr="00E50B03" w:rsidR="00196837" w:rsidP="000229E6" w:rsidRDefault="00196837" w14:paraId="5835F884" w14:textId="77777777">
            <w:pPr>
              <w:spacing w:after="120"/>
              <w:rPr>
                <w:szCs w:val="20"/>
              </w:rPr>
            </w:pPr>
            <w:r w:rsidRPr="00E50B03">
              <w:rPr>
                <w:b/>
                <w:bCs/>
                <w:szCs w:val="20"/>
              </w:rPr>
              <w:t>Hybrid:</w:t>
            </w:r>
            <w:r w:rsidRPr="00E50B03">
              <w:rPr>
                <w:szCs w:val="20"/>
              </w:rPr>
              <w:t xml:space="preserve"> relies on theoretical hypothesis from previous studies; uses census data to prove the association </w:t>
            </w:r>
          </w:p>
        </w:tc>
      </w:tr>
      <w:tr w:rsidRPr="00E50B03" w:rsidR="00196837" w:rsidTr="000229E6" w14:paraId="3A2233D6" w14:textId="77777777">
        <w:trPr>
          <w:cnfStyle w:val="000000100000" w:firstRow="0" w:lastRow="0" w:firstColumn="0" w:lastColumn="0" w:oddVBand="0" w:evenVBand="0" w:oddHBand="1" w:evenHBand="0" w:firstRowFirstColumn="0" w:firstRowLastColumn="0" w:lastRowFirstColumn="0" w:lastRowLastColumn="0"/>
          <w:cantSplit/>
          <w:trHeight w:val="20"/>
        </w:trPr>
        <w:tc>
          <w:tcPr>
            <w:tcW w:w="5000" w:type="pct"/>
            <w:gridSpan w:val="4"/>
          </w:tcPr>
          <w:p w:rsidR="00196837" w:rsidP="000229E6" w:rsidRDefault="00196837" w14:paraId="6FD0D903" w14:textId="77777777">
            <w:pPr>
              <w:spacing w:after="120"/>
              <w:jc w:val="center"/>
              <w:rPr>
                <w:szCs w:val="20"/>
              </w:rPr>
            </w:pPr>
            <w:r>
              <w:rPr>
                <w:szCs w:val="20"/>
              </w:rPr>
              <w:t>Moderate relevancy and moderate robustness</w:t>
            </w:r>
          </w:p>
        </w:tc>
      </w:tr>
      <w:tr w:rsidRPr="00E50B03" w:rsidR="00196837" w:rsidTr="000229E6" w14:paraId="625E4BB7" w14:textId="77777777">
        <w:trPr>
          <w:cantSplit/>
          <w:trHeight w:val="20"/>
        </w:trPr>
        <w:tc>
          <w:tcPr>
            <w:tcW w:w="1838" w:type="pct"/>
          </w:tcPr>
          <w:p w:rsidRPr="00E50B03" w:rsidR="00196837" w:rsidP="000229E6" w:rsidRDefault="00196837" w14:paraId="4D2B7A60" w14:textId="77777777">
            <w:pPr>
              <w:spacing w:after="120"/>
              <w:rPr>
                <w:szCs w:val="20"/>
              </w:rPr>
            </w:pPr>
            <w:r w:rsidRPr="005D2CF3">
              <w:rPr>
                <w:b/>
                <w:bCs/>
                <w:szCs w:val="20"/>
              </w:rPr>
              <w:t>Sharpe, Wyatt and Williams (2022)</w:t>
            </w:r>
            <w:r w:rsidRPr="004A02C1">
              <w:rPr>
                <w:b/>
                <w:bCs/>
                <w:szCs w:val="20"/>
                <w:vertAlign w:val="superscript"/>
              </w:rPr>
              <w:t>1</w:t>
            </w:r>
            <w:r>
              <w:rPr>
                <w:b/>
                <w:bCs/>
                <w:szCs w:val="20"/>
                <w:vertAlign w:val="superscript"/>
              </w:rPr>
              <w:t>3</w:t>
            </w:r>
            <w:r w:rsidRPr="005D2CF3">
              <w:rPr>
                <w:b/>
                <w:bCs/>
                <w:szCs w:val="20"/>
              </w:rPr>
              <w:t>:</w:t>
            </w:r>
            <w:r>
              <w:rPr>
                <w:szCs w:val="20"/>
              </w:rPr>
              <w:t xml:space="preserve"> survey using </w:t>
            </w:r>
            <w:r w:rsidRPr="00740D63">
              <w:rPr>
                <w:szCs w:val="20"/>
              </w:rPr>
              <w:t>Short Warwick-Edinburgh Mental Wellbeing Scale</w:t>
            </w:r>
            <w:r>
              <w:rPr>
                <w:szCs w:val="20"/>
              </w:rPr>
              <w:t>; s</w:t>
            </w:r>
            <w:r w:rsidRPr="00740D63">
              <w:rPr>
                <w:szCs w:val="20"/>
              </w:rPr>
              <w:t>tratified stepwise models</w:t>
            </w:r>
            <w:r>
              <w:rPr>
                <w:szCs w:val="20"/>
              </w:rPr>
              <w:t xml:space="preserve"> </w:t>
            </w:r>
            <w:r w:rsidRPr="00740D63">
              <w:rPr>
                <w:szCs w:val="20"/>
              </w:rPr>
              <w:t>were estimated to generate</w:t>
            </w:r>
            <w:r>
              <w:rPr>
                <w:szCs w:val="20"/>
              </w:rPr>
              <w:t xml:space="preserve"> </w:t>
            </w:r>
            <w:r w:rsidRPr="00740D63">
              <w:rPr>
                <w:szCs w:val="20"/>
              </w:rPr>
              <w:t>hypotheses</w:t>
            </w:r>
          </w:p>
        </w:tc>
        <w:tc>
          <w:tcPr>
            <w:tcW w:w="883" w:type="pct"/>
          </w:tcPr>
          <w:p w:rsidRPr="00E50B03" w:rsidR="00196837" w:rsidP="000229E6" w:rsidRDefault="00196837" w14:paraId="1802825B" w14:textId="77777777">
            <w:pPr>
              <w:spacing w:after="120"/>
              <w:rPr>
                <w:szCs w:val="20"/>
              </w:rPr>
            </w:pPr>
            <w:r>
              <w:rPr>
                <w:szCs w:val="20"/>
              </w:rPr>
              <w:t xml:space="preserve">Residents in </w:t>
            </w:r>
            <w:r w:rsidRPr="00740D63">
              <w:rPr>
                <w:szCs w:val="20"/>
              </w:rPr>
              <w:t>Cornwall Council</w:t>
            </w:r>
          </w:p>
        </w:tc>
        <w:tc>
          <w:tcPr>
            <w:tcW w:w="1065" w:type="pct"/>
          </w:tcPr>
          <w:p w:rsidRPr="00E50B03" w:rsidR="00196837" w:rsidP="000229E6" w:rsidRDefault="00196837" w14:paraId="334F897E" w14:textId="77777777">
            <w:pPr>
              <w:spacing w:after="120"/>
              <w:rPr>
                <w:szCs w:val="20"/>
              </w:rPr>
            </w:pPr>
            <w:r>
              <w:rPr>
                <w:szCs w:val="20"/>
              </w:rPr>
              <w:t>N/A (primary research)</w:t>
            </w:r>
          </w:p>
        </w:tc>
        <w:tc>
          <w:tcPr>
            <w:tcW w:w="1214" w:type="pct"/>
          </w:tcPr>
          <w:p w:rsidRPr="00740D63" w:rsidR="00196837" w:rsidP="000229E6" w:rsidRDefault="00196837" w14:paraId="0D5A759A" w14:textId="77777777">
            <w:pPr>
              <w:spacing w:after="120"/>
              <w:rPr>
                <w:szCs w:val="20"/>
              </w:rPr>
            </w:pPr>
            <w:r>
              <w:rPr>
                <w:b/>
                <w:bCs/>
                <w:szCs w:val="20"/>
              </w:rPr>
              <w:t xml:space="preserve">Hybrid: </w:t>
            </w:r>
            <w:r>
              <w:rPr>
                <w:szCs w:val="20"/>
              </w:rPr>
              <w:t>relies on previous theory to generate the hypotheses; uses data to prove it</w:t>
            </w:r>
          </w:p>
        </w:tc>
      </w:tr>
      <w:tr w:rsidRPr="00E50B03" w:rsidR="00196837" w:rsidTr="000229E6" w14:paraId="460158DC" w14:textId="77777777">
        <w:trPr>
          <w:cnfStyle w:val="000000100000" w:firstRow="0" w:lastRow="0" w:firstColumn="0" w:lastColumn="0" w:oddVBand="0" w:evenVBand="0" w:oddHBand="1" w:evenHBand="0" w:firstRowFirstColumn="0" w:firstRowLastColumn="0" w:lastRowFirstColumn="0" w:lastRowLastColumn="0"/>
          <w:cantSplit/>
          <w:trHeight w:val="20"/>
        </w:trPr>
        <w:tc>
          <w:tcPr>
            <w:tcW w:w="5000" w:type="pct"/>
            <w:gridSpan w:val="4"/>
          </w:tcPr>
          <w:p w:rsidRPr="00E50B03" w:rsidR="00196837" w:rsidP="000229E6" w:rsidRDefault="00196837" w14:paraId="568BA337" w14:textId="77777777">
            <w:pPr>
              <w:spacing w:after="120"/>
              <w:jc w:val="center"/>
              <w:rPr>
                <w:szCs w:val="20"/>
              </w:rPr>
            </w:pPr>
            <w:r>
              <w:rPr>
                <w:szCs w:val="20"/>
              </w:rPr>
              <w:t>Moderate relevancy and grey literature</w:t>
            </w:r>
          </w:p>
        </w:tc>
      </w:tr>
      <w:tr w:rsidRPr="00E50B03" w:rsidR="00196837" w:rsidTr="000229E6" w14:paraId="6CB72AE1" w14:textId="77777777">
        <w:trPr>
          <w:cantSplit/>
          <w:trHeight w:val="20"/>
        </w:trPr>
        <w:tc>
          <w:tcPr>
            <w:tcW w:w="1838" w:type="pct"/>
          </w:tcPr>
          <w:p w:rsidRPr="00E50B03" w:rsidR="00196837" w:rsidP="000229E6" w:rsidRDefault="00196837" w14:paraId="3CBACEA2" w14:textId="77777777">
            <w:pPr>
              <w:spacing w:after="120"/>
              <w:rPr>
                <w:szCs w:val="20"/>
              </w:rPr>
            </w:pPr>
            <w:r w:rsidRPr="00853DCC">
              <w:rPr>
                <w:b/>
                <w:bCs/>
                <w:szCs w:val="20"/>
              </w:rPr>
              <w:t>The Institute of Health Equity (2022)</w:t>
            </w:r>
            <w:r w:rsidRPr="004A02C1">
              <w:rPr>
                <w:b/>
                <w:bCs/>
                <w:szCs w:val="20"/>
                <w:vertAlign w:val="superscript"/>
              </w:rPr>
              <w:t>1</w:t>
            </w:r>
            <w:r>
              <w:rPr>
                <w:b/>
                <w:bCs/>
                <w:szCs w:val="20"/>
                <w:vertAlign w:val="superscript"/>
              </w:rPr>
              <w:t>4</w:t>
            </w:r>
            <w:r w:rsidRPr="00853DCC">
              <w:rPr>
                <w:b/>
                <w:bCs/>
                <w:szCs w:val="20"/>
              </w:rPr>
              <w:t>:</w:t>
            </w:r>
            <w:r>
              <w:rPr>
                <w:szCs w:val="20"/>
              </w:rPr>
              <w:t xml:space="preserve"> secondary data only</w:t>
            </w:r>
          </w:p>
        </w:tc>
        <w:tc>
          <w:tcPr>
            <w:tcW w:w="883" w:type="pct"/>
          </w:tcPr>
          <w:p w:rsidRPr="00E50B03" w:rsidR="00196837" w:rsidP="000229E6" w:rsidRDefault="00196837" w14:paraId="6595E71B" w14:textId="77777777">
            <w:pPr>
              <w:spacing w:after="120"/>
              <w:rPr>
                <w:szCs w:val="20"/>
              </w:rPr>
            </w:pPr>
            <w:r>
              <w:rPr>
                <w:szCs w:val="20"/>
              </w:rPr>
              <w:t>Individuals affected by fuel poverty</w:t>
            </w:r>
          </w:p>
        </w:tc>
        <w:tc>
          <w:tcPr>
            <w:tcW w:w="1065" w:type="pct"/>
          </w:tcPr>
          <w:p w:rsidRPr="00E50B03" w:rsidR="00196837" w:rsidP="000229E6" w:rsidRDefault="00196837" w14:paraId="42CFD0DF" w14:textId="77777777">
            <w:pPr>
              <w:spacing w:after="120"/>
              <w:rPr>
                <w:szCs w:val="20"/>
              </w:rPr>
            </w:pPr>
            <w:r w:rsidRPr="00CF2C71">
              <w:rPr>
                <w:szCs w:val="20"/>
              </w:rPr>
              <w:t>Department for Business, Energy &amp; Industrial Strategy</w:t>
            </w:r>
            <w:r>
              <w:rPr>
                <w:szCs w:val="20"/>
              </w:rPr>
              <w:t xml:space="preserve"> (BEIS); ONS</w:t>
            </w:r>
          </w:p>
        </w:tc>
        <w:tc>
          <w:tcPr>
            <w:tcW w:w="1214" w:type="pct"/>
          </w:tcPr>
          <w:p w:rsidRPr="00CF2C71" w:rsidR="00196837" w:rsidP="000229E6" w:rsidRDefault="00196837" w14:paraId="398CE197" w14:textId="77777777">
            <w:pPr>
              <w:spacing w:after="120"/>
              <w:rPr>
                <w:szCs w:val="20"/>
              </w:rPr>
            </w:pPr>
            <w:r>
              <w:rPr>
                <w:b/>
                <w:bCs/>
                <w:szCs w:val="20"/>
              </w:rPr>
              <w:t xml:space="preserve">Hybrid: </w:t>
            </w:r>
            <w:r>
              <w:rPr>
                <w:szCs w:val="20"/>
              </w:rPr>
              <w:t>relies on previous theory; used data from previous research</w:t>
            </w:r>
          </w:p>
        </w:tc>
      </w:tr>
      <w:tr w:rsidRPr="00E50B03" w:rsidR="00196837" w:rsidTr="000229E6" w14:paraId="43DADBFF" w14:textId="77777777">
        <w:trPr>
          <w:cnfStyle w:val="000000100000" w:firstRow="0" w:lastRow="0" w:firstColumn="0" w:lastColumn="0" w:oddVBand="0" w:evenVBand="0" w:oddHBand="1" w:evenHBand="0" w:firstRowFirstColumn="0" w:firstRowLastColumn="0" w:lastRowFirstColumn="0" w:lastRowLastColumn="0"/>
          <w:cantSplit/>
          <w:trHeight w:val="20"/>
        </w:trPr>
        <w:tc>
          <w:tcPr>
            <w:tcW w:w="1838" w:type="pct"/>
          </w:tcPr>
          <w:p w:rsidR="00196837" w:rsidP="000229E6" w:rsidRDefault="00196837" w14:paraId="49F4EF73" w14:textId="77777777">
            <w:pPr>
              <w:spacing w:after="120"/>
              <w:rPr>
                <w:szCs w:val="20"/>
              </w:rPr>
            </w:pPr>
            <w:r w:rsidRPr="000417CE">
              <w:rPr>
                <w:b/>
                <w:bCs/>
                <w:szCs w:val="20"/>
              </w:rPr>
              <w:t>Born in Bradford (2019)</w:t>
            </w:r>
            <w:r w:rsidRPr="00471F3B">
              <w:rPr>
                <w:b/>
                <w:bCs/>
                <w:szCs w:val="20"/>
                <w:vertAlign w:val="superscript"/>
              </w:rPr>
              <w:t>1</w:t>
            </w:r>
            <w:r>
              <w:rPr>
                <w:b/>
                <w:bCs/>
                <w:szCs w:val="20"/>
                <w:vertAlign w:val="superscript"/>
              </w:rPr>
              <w:t>5</w:t>
            </w:r>
            <w:r w:rsidRPr="00471F3B">
              <w:rPr>
                <w:b/>
                <w:bCs/>
                <w:szCs w:val="20"/>
              </w:rPr>
              <w:t>:</w:t>
            </w:r>
            <w:r w:rsidRPr="000417CE">
              <w:rPr>
                <w:b/>
                <w:bCs/>
                <w:szCs w:val="20"/>
              </w:rPr>
              <w:t xml:space="preserve"> </w:t>
            </w:r>
            <w:r>
              <w:rPr>
                <w:szCs w:val="20"/>
              </w:rPr>
              <w:t xml:space="preserve">primary and secondary data </w:t>
            </w:r>
          </w:p>
        </w:tc>
        <w:tc>
          <w:tcPr>
            <w:tcW w:w="883" w:type="pct"/>
          </w:tcPr>
          <w:p w:rsidR="00196837" w:rsidP="000229E6" w:rsidRDefault="00196837" w14:paraId="5492F667" w14:textId="77777777">
            <w:pPr>
              <w:spacing w:after="120"/>
              <w:rPr>
                <w:szCs w:val="20"/>
              </w:rPr>
            </w:pPr>
            <w:r>
              <w:rPr>
                <w:szCs w:val="20"/>
              </w:rPr>
              <w:t>Residents in Bradford; children whose health is affected by air quality</w:t>
            </w:r>
          </w:p>
        </w:tc>
        <w:tc>
          <w:tcPr>
            <w:tcW w:w="1065" w:type="pct"/>
          </w:tcPr>
          <w:p w:rsidRPr="00CF2C71" w:rsidR="00196837" w:rsidP="000229E6" w:rsidRDefault="00196837" w14:paraId="2503AF47" w14:textId="77777777">
            <w:pPr>
              <w:spacing w:after="120"/>
              <w:rPr>
                <w:szCs w:val="20"/>
              </w:rPr>
            </w:pPr>
            <w:r>
              <w:rPr>
                <w:szCs w:val="20"/>
              </w:rPr>
              <w:t>Not available</w:t>
            </w:r>
          </w:p>
        </w:tc>
        <w:tc>
          <w:tcPr>
            <w:tcW w:w="1214" w:type="pct"/>
          </w:tcPr>
          <w:p w:rsidR="00196837" w:rsidP="000229E6" w:rsidRDefault="00196837" w14:paraId="1967F2D0" w14:textId="77777777">
            <w:pPr>
              <w:spacing w:after="120"/>
              <w:rPr>
                <w:b/>
                <w:bCs/>
                <w:szCs w:val="20"/>
              </w:rPr>
            </w:pPr>
            <w:r>
              <w:rPr>
                <w:b/>
                <w:bCs/>
                <w:szCs w:val="20"/>
              </w:rPr>
              <w:t xml:space="preserve">Hybrid: </w:t>
            </w:r>
            <w:r>
              <w:rPr>
                <w:szCs w:val="20"/>
              </w:rPr>
              <w:t>relies on previous theory; used data from previous research</w:t>
            </w:r>
          </w:p>
        </w:tc>
      </w:tr>
    </w:tbl>
    <w:p w:rsidRPr="00196837" w:rsidR="00196837" w:rsidP="00EC0502" w:rsidRDefault="00196837" w14:paraId="5EA9EC6E" w14:textId="77777777"/>
    <w:p w:rsidRPr="006C28CC" w:rsidR="006C28CC" w:rsidP="006C28CC" w:rsidRDefault="006C28CC" w14:paraId="2B4A3CF3" w14:textId="7E520D93">
      <w:pPr>
        <w:pStyle w:val="Head12C2R"/>
        <w:framePr w:w="0" w:wrap="auto" w:yAlign="inline"/>
        <w:spacing w:after="240"/>
      </w:pPr>
      <w:bookmarkStart w:name="_Toc146539775" w:id="178"/>
      <w:r w:rsidRPr="006C28CC">
        <w:t>Annex C – Theme 2 Detailed results from the literature</w:t>
      </w:r>
      <w:bookmarkEnd w:id="178"/>
    </w:p>
    <w:p w:rsidRPr="006C28CC" w:rsidR="006C28CC" w:rsidP="006C28CC" w:rsidRDefault="006C28CC" w14:paraId="44E4C635" w14:textId="46971494">
      <w:pPr>
        <w:spacing w:after="120"/>
      </w:pPr>
      <w:r w:rsidRPr="006C28CC">
        <w:t>The table below provides a summary of the extent to which different method types for addressing health inequalities which have been adopted within the literature. This has been grouped into: prevention, improving access to services, improving use of services and outcomes:</w:t>
      </w:r>
    </w:p>
    <w:p w:rsidRPr="006C28CC" w:rsidR="006C28CC" w:rsidP="006C28CC" w:rsidRDefault="006C28CC" w14:paraId="1794B44D" w14:textId="772D4C92">
      <w:pPr>
        <w:rPr>
          <w:b/>
          <w:bCs/>
        </w:rPr>
      </w:pPr>
      <w:r w:rsidRPr="006C28CC">
        <w:rPr>
          <w:b/>
          <w:bCs/>
        </w:rPr>
        <w:t>Table</w:t>
      </w:r>
      <w:r>
        <w:rPr>
          <w:b/>
          <w:bCs/>
        </w:rPr>
        <w:t xml:space="preserve"> C1</w:t>
      </w:r>
      <w:r w:rsidRPr="006C28CC">
        <w:rPr>
          <w:b/>
          <w:bCs/>
        </w:rPr>
        <w:t xml:space="preserve"> – Number of methods referenced by area of health inequality and method type</w:t>
      </w:r>
    </w:p>
    <w:tbl>
      <w:tblPr>
        <w:tblStyle w:val="PlainTable1"/>
        <w:tblW w:w="5000" w:type="pct"/>
        <w:tblCellMar>
          <w:left w:w="57" w:type="dxa"/>
          <w:right w:w="57" w:type="dxa"/>
        </w:tblCellMar>
        <w:tblLook w:val="04A0" w:firstRow="1" w:lastRow="0" w:firstColumn="1" w:lastColumn="0" w:noHBand="0" w:noVBand="1"/>
      </w:tblPr>
      <w:tblGrid>
        <w:gridCol w:w="4087"/>
        <w:gridCol w:w="1355"/>
        <w:gridCol w:w="955"/>
        <w:gridCol w:w="821"/>
        <w:gridCol w:w="1288"/>
        <w:gridCol w:w="1405"/>
      </w:tblGrid>
      <w:tr w:rsidRPr="006C28CC" w:rsidR="006C28CC" w:rsidTr="000229E6" w14:paraId="4E5C490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80" w:type="pct"/>
          </w:tcPr>
          <w:p w:rsidRPr="006C28CC" w:rsidR="006C28CC" w:rsidP="000229E6" w:rsidRDefault="006C28CC" w14:paraId="3ED5A7AB" w14:textId="77777777">
            <w:pPr>
              <w:spacing w:before="120" w:after="120"/>
            </w:pPr>
          </w:p>
        </w:tc>
        <w:tc>
          <w:tcPr>
            <w:tcW w:w="0" w:type="pct"/>
          </w:tcPr>
          <w:p w:rsidRPr="006C28CC" w:rsidR="006C28CC" w:rsidP="000229E6" w:rsidRDefault="006C28CC" w14:paraId="258E1FB8" w14:textId="77777777">
            <w:pPr>
              <w:spacing w:after="120"/>
              <w:cnfStyle w:val="100000000000" w:firstRow="1" w:lastRow="0" w:firstColumn="0" w:lastColumn="0" w:oddVBand="0" w:evenVBand="0" w:oddHBand="0" w:evenHBand="0" w:firstRowFirstColumn="0" w:firstRowLastColumn="0" w:lastRowFirstColumn="0" w:lastRowLastColumn="0"/>
            </w:pPr>
            <w:r w:rsidRPr="006C28CC">
              <w:t>Prevention</w:t>
            </w:r>
          </w:p>
        </w:tc>
        <w:tc>
          <w:tcPr>
            <w:tcW w:w="528" w:type="pct"/>
          </w:tcPr>
          <w:p w:rsidRPr="006C28CC" w:rsidR="006C28CC" w:rsidP="000229E6" w:rsidRDefault="006C28CC" w14:paraId="58638C17" w14:textId="77777777">
            <w:pPr>
              <w:spacing w:after="120"/>
              <w:cnfStyle w:val="100000000000" w:firstRow="1" w:lastRow="0" w:firstColumn="0" w:lastColumn="0" w:oddVBand="0" w:evenVBand="0" w:oddHBand="0" w:evenHBand="0" w:firstRowFirstColumn="0" w:firstRowLastColumn="0" w:lastRowFirstColumn="0" w:lastRowLastColumn="0"/>
            </w:pPr>
            <w:r w:rsidRPr="006C28CC">
              <w:t>Access</w:t>
            </w:r>
          </w:p>
        </w:tc>
        <w:tc>
          <w:tcPr>
            <w:tcW w:w="462" w:type="pct"/>
          </w:tcPr>
          <w:p w:rsidRPr="006C28CC" w:rsidR="006C28CC" w:rsidP="000229E6" w:rsidRDefault="006C28CC" w14:paraId="7E023BAC" w14:textId="77777777">
            <w:pPr>
              <w:spacing w:after="120"/>
              <w:cnfStyle w:val="100000000000" w:firstRow="1" w:lastRow="0" w:firstColumn="0" w:lastColumn="0" w:oddVBand="0" w:evenVBand="0" w:oddHBand="0" w:evenHBand="0" w:firstRowFirstColumn="0" w:firstRowLastColumn="0" w:lastRowFirstColumn="0" w:lastRowLastColumn="0"/>
            </w:pPr>
            <w:r w:rsidRPr="006C28CC">
              <w:t>Use</w:t>
            </w:r>
          </w:p>
        </w:tc>
        <w:tc>
          <w:tcPr>
            <w:tcW w:w="599" w:type="pct"/>
          </w:tcPr>
          <w:p w:rsidRPr="006C28CC" w:rsidR="006C28CC" w:rsidP="000229E6" w:rsidRDefault="006C28CC" w14:paraId="36B83636" w14:textId="77777777">
            <w:pPr>
              <w:spacing w:after="120"/>
              <w:cnfStyle w:val="100000000000" w:firstRow="1" w:lastRow="0" w:firstColumn="0" w:lastColumn="0" w:oddVBand="0" w:evenVBand="0" w:oddHBand="0" w:evenHBand="0" w:firstRowFirstColumn="0" w:firstRowLastColumn="0" w:lastRowFirstColumn="0" w:lastRowLastColumn="0"/>
            </w:pPr>
            <w:r w:rsidRPr="006C28CC">
              <w:t>Outcomes</w:t>
            </w:r>
          </w:p>
        </w:tc>
        <w:tc>
          <w:tcPr>
            <w:tcW w:w="806" w:type="pct"/>
          </w:tcPr>
          <w:p w:rsidRPr="006C28CC" w:rsidR="006C28CC" w:rsidP="000229E6" w:rsidRDefault="006C28CC" w14:paraId="540491DA" w14:textId="77777777">
            <w:pPr>
              <w:spacing w:after="120"/>
              <w:cnfStyle w:val="100000000000" w:firstRow="1" w:lastRow="0" w:firstColumn="0" w:lastColumn="0" w:oddVBand="0" w:evenVBand="0" w:oddHBand="0" w:evenHBand="0" w:firstRowFirstColumn="0" w:firstRowLastColumn="0" w:lastRowFirstColumn="0" w:lastRowLastColumn="0"/>
            </w:pPr>
            <w:r w:rsidRPr="006C28CC">
              <w:t xml:space="preserve">Total number of references </w:t>
            </w:r>
          </w:p>
        </w:tc>
      </w:tr>
      <w:tr w:rsidRPr="006C28CC" w:rsidR="006C28CC" w:rsidTr="000229E6" w14:paraId="37AFE6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pct"/>
          </w:tcPr>
          <w:p w:rsidRPr="006C28CC" w:rsidR="006C28CC" w:rsidP="000229E6" w:rsidRDefault="006C28CC" w14:paraId="456ACD3D" w14:textId="77777777">
            <w:pPr>
              <w:spacing w:after="120"/>
            </w:pPr>
            <w:r w:rsidRPr="006C28CC">
              <w:t>Advice, guidance and signposting (eg social prescribing, helplines etc.)</w:t>
            </w:r>
          </w:p>
        </w:tc>
        <w:tc>
          <w:tcPr>
            <w:tcW w:w="0" w:type="pct"/>
          </w:tcPr>
          <w:p w:rsidRPr="006C28CC" w:rsidR="006C28CC" w:rsidP="000229E6" w:rsidRDefault="006C28CC" w14:paraId="2D507760" w14:textId="77777777">
            <w:pPr>
              <w:spacing w:after="0"/>
              <w:jc w:val="center"/>
              <w:cnfStyle w:val="000000100000" w:firstRow="0" w:lastRow="0" w:firstColumn="0" w:lastColumn="0" w:oddVBand="0" w:evenVBand="0" w:oddHBand="1" w:evenHBand="0" w:firstRowFirstColumn="0" w:firstRowLastColumn="0" w:lastRowFirstColumn="0" w:lastRowLastColumn="0"/>
            </w:pPr>
            <w:r w:rsidRPr="006C28CC">
              <w:t>N=4 (12.1%)</w:t>
            </w:r>
          </w:p>
        </w:tc>
        <w:tc>
          <w:tcPr>
            <w:tcW w:w="528" w:type="pct"/>
          </w:tcPr>
          <w:p w:rsidRPr="006C28CC" w:rsidR="006C28CC" w:rsidP="000229E6" w:rsidRDefault="006C28CC" w14:paraId="03006C07" w14:textId="77777777">
            <w:pPr>
              <w:spacing w:after="0"/>
              <w:jc w:val="center"/>
              <w:cnfStyle w:val="000000100000" w:firstRow="0" w:lastRow="0" w:firstColumn="0" w:lastColumn="0" w:oddVBand="0" w:evenVBand="0" w:oddHBand="1" w:evenHBand="0" w:firstRowFirstColumn="0" w:firstRowLastColumn="0" w:lastRowFirstColumn="0" w:lastRowLastColumn="0"/>
            </w:pPr>
            <w:r w:rsidRPr="006C28CC">
              <w:t>N=4 (12.1%)</w:t>
            </w:r>
          </w:p>
        </w:tc>
        <w:tc>
          <w:tcPr>
            <w:tcW w:w="462" w:type="pct"/>
          </w:tcPr>
          <w:p w:rsidRPr="006C28CC" w:rsidR="006C28CC" w:rsidP="000229E6" w:rsidRDefault="006C28CC" w14:paraId="423D0D54" w14:textId="77777777">
            <w:pPr>
              <w:spacing w:after="0"/>
              <w:jc w:val="center"/>
              <w:cnfStyle w:val="000000100000" w:firstRow="0" w:lastRow="0" w:firstColumn="0" w:lastColumn="0" w:oddVBand="0" w:evenVBand="0" w:oddHBand="1" w:evenHBand="0" w:firstRowFirstColumn="0" w:firstRowLastColumn="0" w:lastRowFirstColumn="0" w:lastRowLastColumn="0"/>
            </w:pPr>
            <w:r w:rsidRPr="006C28CC">
              <w:t>N=1 (3.0%)</w:t>
            </w:r>
          </w:p>
        </w:tc>
        <w:tc>
          <w:tcPr>
            <w:tcW w:w="599" w:type="pct"/>
          </w:tcPr>
          <w:p w:rsidRPr="006C28CC" w:rsidR="006C28CC" w:rsidP="000229E6" w:rsidRDefault="006C28CC" w14:paraId="3B351F9E" w14:textId="77777777">
            <w:pPr>
              <w:spacing w:after="0"/>
              <w:jc w:val="center"/>
              <w:cnfStyle w:val="000000100000" w:firstRow="0" w:lastRow="0" w:firstColumn="0" w:lastColumn="0" w:oddVBand="0" w:evenVBand="0" w:oddHBand="1" w:evenHBand="0" w:firstRowFirstColumn="0" w:firstRowLastColumn="0" w:lastRowFirstColumn="0" w:lastRowLastColumn="0"/>
            </w:pPr>
            <w:r w:rsidRPr="006C28CC">
              <w:t>N=7 (21.2%)</w:t>
            </w:r>
          </w:p>
        </w:tc>
        <w:tc>
          <w:tcPr>
            <w:tcW w:w="806" w:type="pct"/>
          </w:tcPr>
          <w:p w:rsidRPr="006C28CC" w:rsidR="006C28CC" w:rsidP="000229E6" w:rsidRDefault="006C28CC" w14:paraId="000AC18D" w14:textId="77777777">
            <w:pPr>
              <w:spacing w:after="0"/>
              <w:jc w:val="center"/>
              <w:cnfStyle w:val="000000100000" w:firstRow="0" w:lastRow="0" w:firstColumn="0" w:lastColumn="0" w:oddVBand="0" w:evenVBand="0" w:oddHBand="1" w:evenHBand="0" w:firstRowFirstColumn="0" w:firstRowLastColumn="0" w:lastRowFirstColumn="0" w:lastRowLastColumn="0"/>
            </w:pPr>
            <w:r w:rsidRPr="006C28CC">
              <w:t>16</w:t>
            </w:r>
          </w:p>
        </w:tc>
      </w:tr>
      <w:tr w:rsidRPr="006C28CC" w:rsidR="006C28CC" w:rsidTr="000229E6" w14:paraId="11B1B657" w14:textId="77777777">
        <w:tc>
          <w:tcPr>
            <w:cnfStyle w:val="001000000000" w:firstRow="0" w:lastRow="0" w:firstColumn="1" w:lastColumn="0" w:oddVBand="0" w:evenVBand="0" w:oddHBand="0" w:evenHBand="0" w:firstRowFirstColumn="0" w:firstRowLastColumn="0" w:lastRowFirstColumn="0" w:lastRowLastColumn="0"/>
            <w:tcW w:w="1880" w:type="pct"/>
          </w:tcPr>
          <w:p w:rsidRPr="006C28CC" w:rsidR="006C28CC" w:rsidP="000229E6" w:rsidRDefault="006C28CC" w14:paraId="72376473" w14:textId="77777777">
            <w:pPr>
              <w:spacing w:after="120"/>
            </w:pPr>
            <w:r w:rsidRPr="006C28CC">
              <w:t>Self-management programmes (eg self-help for managing stress and anxiety, wellbeing apps)</w:t>
            </w:r>
          </w:p>
        </w:tc>
        <w:tc>
          <w:tcPr>
            <w:tcW w:w="0" w:type="pct"/>
          </w:tcPr>
          <w:p w:rsidRPr="006C28CC" w:rsidR="006C28CC" w:rsidP="000229E6" w:rsidRDefault="006C28CC" w14:paraId="52158CE8" w14:textId="77777777">
            <w:pPr>
              <w:spacing w:after="0"/>
              <w:jc w:val="center"/>
              <w:cnfStyle w:val="000000000000" w:firstRow="0" w:lastRow="0" w:firstColumn="0" w:lastColumn="0" w:oddVBand="0" w:evenVBand="0" w:oddHBand="0" w:evenHBand="0" w:firstRowFirstColumn="0" w:firstRowLastColumn="0" w:lastRowFirstColumn="0" w:lastRowLastColumn="0"/>
            </w:pPr>
            <w:r w:rsidRPr="006C28CC">
              <w:t>N=1</w:t>
            </w:r>
          </w:p>
          <w:p w:rsidRPr="006C28CC" w:rsidR="006C28CC" w:rsidP="000229E6" w:rsidRDefault="006C28CC" w14:paraId="1FCB874F" w14:textId="77777777">
            <w:pPr>
              <w:spacing w:after="0"/>
              <w:jc w:val="center"/>
              <w:cnfStyle w:val="000000000000" w:firstRow="0" w:lastRow="0" w:firstColumn="0" w:lastColumn="0" w:oddVBand="0" w:evenVBand="0" w:oddHBand="0" w:evenHBand="0" w:firstRowFirstColumn="0" w:firstRowLastColumn="0" w:lastRowFirstColumn="0" w:lastRowLastColumn="0"/>
            </w:pPr>
            <w:r w:rsidRPr="006C28CC">
              <w:t>(3%)</w:t>
            </w:r>
          </w:p>
        </w:tc>
        <w:tc>
          <w:tcPr>
            <w:tcW w:w="528" w:type="pct"/>
          </w:tcPr>
          <w:p w:rsidRPr="006C28CC" w:rsidR="006C28CC" w:rsidP="000229E6" w:rsidRDefault="006C28CC" w14:paraId="5E12B22C" w14:textId="77777777">
            <w:pPr>
              <w:spacing w:after="0"/>
              <w:jc w:val="center"/>
              <w:cnfStyle w:val="000000000000" w:firstRow="0" w:lastRow="0" w:firstColumn="0" w:lastColumn="0" w:oddVBand="0" w:evenVBand="0" w:oddHBand="0" w:evenHBand="0" w:firstRowFirstColumn="0" w:firstRowLastColumn="0" w:lastRowFirstColumn="0" w:lastRowLastColumn="0"/>
            </w:pPr>
            <w:r w:rsidRPr="006C28CC">
              <w:t>N=0</w:t>
            </w:r>
          </w:p>
          <w:p w:rsidRPr="006C28CC" w:rsidR="006C28CC" w:rsidP="000229E6" w:rsidRDefault="006C28CC" w14:paraId="0E4A1EF9" w14:textId="77777777">
            <w:pPr>
              <w:spacing w:after="0"/>
              <w:jc w:val="center"/>
              <w:cnfStyle w:val="000000000000" w:firstRow="0" w:lastRow="0" w:firstColumn="0" w:lastColumn="0" w:oddVBand="0" w:evenVBand="0" w:oddHBand="0" w:evenHBand="0" w:firstRowFirstColumn="0" w:firstRowLastColumn="0" w:lastRowFirstColumn="0" w:lastRowLastColumn="0"/>
            </w:pPr>
            <w:r w:rsidRPr="006C28CC">
              <w:t>(0.0%)</w:t>
            </w:r>
          </w:p>
        </w:tc>
        <w:tc>
          <w:tcPr>
            <w:tcW w:w="462" w:type="pct"/>
          </w:tcPr>
          <w:p w:rsidRPr="006C28CC" w:rsidR="006C28CC" w:rsidP="000229E6" w:rsidRDefault="006C28CC" w14:paraId="4C92F9E4" w14:textId="77777777">
            <w:pPr>
              <w:spacing w:after="0"/>
              <w:jc w:val="center"/>
              <w:cnfStyle w:val="000000000000" w:firstRow="0" w:lastRow="0" w:firstColumn="0" w:lastColumn="0" w:oddVBand="0" w:evenVBand="0" w:oddHBand="0" w:evenHBand="0" w:firstRowFirstColumn="0" w:firstRowLastColumn="0" w:lastRowFirstColumn="0" w:lastRowLastColumn="0"/>
            </w:pPr>
            <w:r w:rsidRPr="006C28CC">
              <w:t>N=0</w:t>
            </w:r>
          </w:p>
          <w:p w:rsidRPr="006C28CC" w:rsidR="006C28CC" w:rsidP="000229E6" w:rsidRDefault="006C28CC" w14:paraId="3D898BF3" w14:textId="77777777">
            <w:pPr>
              <w:spacing w:after="0"/>
              <w:jc w:val="center"/>
              <w:cnfStyle w:val="000000000000" w:firstRow="0" w:lastRow="0" w:firstColumn="0" w:lastColumn="0" w:oddVBand="0" w:evenVBand="0" w:oddHBand="0" w:evenHBand="0" w:firstRowFirstColumn="0" w:firstRowLastColumn="0" w:lastRowFirstColumn="0" w:lastRowLastColumn="0"/>
            </w:pPr>
            <w:r w:rsidRPr="006C28CC">
              <w:t>(0.0%)</w:t>
            </w:r>
          </w:p>
        </w:tc>
        <w:tc>
          <w:tcPr>
            <w:tcW w:w="599" w:type="pct"/>
          </w:tcPr>
          <w:p w:rsidRPr="006C28CC" w:rsidR="006C28CC" w:rsidP="000229E6" w:rsidRDefault="006C28CC" w14:paraId="60CAC73C" w14:textId="77777777">
            <w:pPr>
              <w:spacing w:after="0"/>
              <w:jc w:val="center"/>
              <w:cnfStyle w:val="000000000000" w:firstRow="0" w:lastRow="0" w:firstColumn="0" w:lastColumn="0" w:oddVBand="0" w:evenVBand="0" w:oddHBand="0" w:evenHBand="0" w:firstRowFirstColumn="0" w:firstRowLastColumn="0" w:lastRowFirstColumn="0" w:lastRowLastColumn="0"/>
            </w:pPr>
            <w:r w:rsidRPr="006C28CC">
              <w:t>N=1</w:t>
            </w:r>
          </w:p>
          <w:p w:rsidRPr="006C28CC" w:rsidR="006C28CC" w:rsidP="000229E6" w:rsidRDefault="006C28CC" w14:paraId="5E4A4075" w14:textId="77777777">
            <w:pPr>
              <w:spacing w:after="0"/>
              <w:jc w:val="center"/>
              <w:cnfStyle w:val="000000000000" w:firstRow="0" w:lastRow="0" w:firstColumn="0" w:lastColumn="0" w:oddVBand="0" w:evenVBand="0" w:oddHBand="0" w:evenHBand="0" w:firstRowFirstColumn="0" w:firstRowLastColumn="0" w:lastRowFirstColumn="0" w:lastRowLastColumn="0"/>
            </w:pPr>
            <w:r w:rsidRPr="006C28CC">
              <w:t>(3.0%)</w:t>
            </w:r>
          </w:p>
        </w:tc>
        <w:tc>
          <w:tcPr>
            <w:tcW w:w="806" w:type="pct"/>
          </w:tcPr>
          <w:p w:rsidRPr="006C28CC" w:rsidR="006C28CC" w:rsidP="000229E6" w:rsidRDefault="006C28CC" w14:paraId="6197A56A" w14:textId="77777777">
            <w:pPr>
              <w:spacing w:after="0"/>
              <w:jc w:val="center"/>
              <w:cnfStyle w:val="000000000000" w:firstRow="0" w:lastRow="0" w:firstColumn="0" w:lastColumn="0" w:oddVBand="0" w:evenVBand="0" w:oddHBand="0" w:evenHBand="0" w:firstRowFirstColumn="0" w:firstRowLastColumn="0" w:lastRowFirstColumn="0" w:lastRowLastColumn="0"/>
            </w:pPr>
            <w:r w:rsidRPr="006C28CC">
              <w:t>2</w:t>
            </w:r>
          </w:p>
        </w:tc>
      </w:tr>
      <w:tr w:rsidRPr="006C28CC" w:rsidR="006C28CC" w:rsidTr="000229E6" w14:paraId="28F4CA0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pct"/>
          </w:tcPr>
          <w:p w:rsidRPr="006C28CC" w:rsidR="006C28CC" w:rsidP="000229E6" w:rsidRDefault="006C28CC" w14:paraId="69ACF17C" w14:textId="77777777">
            <w:pPr>
              <w:spacing w:after="120"/>
            </w:pPr>
            <w:r w:rsidRPr="006C28CC">
              <w:t>Training and education programmes (eg health literacy, employment programmes)</w:t>
            </w:r>
          </w:p>
        </w:tc>
        <w:tc>
          <w:tcPr>
            <w:tcW w:w="0" w:type="pct"/>
          </w:tcPr>
          <w:p w:rsidRPr="006C28CC" w:rsidR="006C28CC" w:rsidP="000229E6" w:rsidRDefault="006C28CC" w14:paraId="2AB8FFA2" w14:textId="77777777">
            <w:pPr>
              <w:spacing w:after="0"/>
              <w:jc w:val="center"/>
              <w:cnfStyle w:val="000000100000" w:firstRow="0" w:lastRow="0" w:firstColumn="0" w:lastColumn="0" w:oddVBand="0" w:evenVBand="0" w:oddHBand="1" w:evenHBand="0" w:firstRowFirstColumn="0" w:firstRowLastColumn="0" w:lastRowFirstColumn="0" w:lastRowLastColumn="0"/>
            </w:pPr>
            <w:r w:rsidRPr="006C28CC">
              <w:t>N=2</w:t>
            </w:r>
          </w:p>
          <w:p w:rsidRPr="006C28CC" w:rsidR="006C28CC" w:rsidP="000229E6" w:rsidRDefault="006C28CC" w14:paraId="1633BEAC" w14:textId="77777777">
            <w:pPr>
              <w:spacing w:after="0"/>
              <w:jc w:val="center"/>
              <w:cnfStyle w:val="000000100000" w:firstRow="0" w:lastRow="0" w:firstColumn="0" w:lastColumn="0" w:oddVBand="0" w:evenVBand="0" w:oddHBand="1" w:evenHBand="0" w:firstRowFirstColumn="0" w:firstRowLastColumn="0" w:lastRowFirstColumn="0" w:lastRowLastColumn="0"/>
            </w:pPr>
            <w:r w:rsidRPr="006C28CC">
              <w:t>(6.1%)</w:t>
            </w:r>
          </w:p>
        </w:tc>
        <w:tc>
          <w:tcPr>
            <w:tcW w:w="528" w:type="pct"/>
          </w:tcPr>
          <w:p w:rsidRPr="006C28CC" w:rsidR="006C28CC" w:rsidP="000229E6" w:rsidRDefault="006C28CC" w14:paraId="5A2697A3" w14:textId="77777777">
            <w:pPr>
              <w:spacing w:after="0"/>
              <w:jc w:val="center"/>
              <w:cnfStyle w:val="000000100000" w:firstRow="0" w:lastRow="0" w:firstColumn="0" w:lastColumn="0" w:oddVBand="0" w:evenVBand="0" w:oddHBand="1" w:evenHBand="0" w:firstRowFirstColumn="0" w:firstRowLastColumn="0" w:lastRowFirstColumn="0" w:lastRowLastColumn="0"/>
            </w:pPr>
            <w:r w:rsidRPr="006C28CC">
              <w:t>N=1</w:t>
            </w:r>
          </w:p>
          <w:p w:rsidRPr="006C28CC" w:rsidR="006C28CC" w:rsidP="000229E6" w:rsidRDefault="006C28CC" w14:paraId="1594292D" w14:textId="77777777">
            <w:pPr>
              <w:spacing w:after="0"/>
              <w:jc w:val="center"/>
              <w:cnfStyle w:val="000000100000" w:firstRow="0" w:lastRow="0" w:firstColumn="0" w:lastColumn="0" w:oddVBand="0" w:evenVBand="0" w:oddHBand="1" w:evenHBand="0" w:firstRowFirstColumn="0" w:firstRowLastColumn="0" w:lastRowFirstColumn="0" w:lastRowLastColumn="0"/>
            </w:pPr>
            <w:r w:rsidRPr="006C28CC">
              <w:t>(3.0%)</w:t>
            </w:r>
          </w:p>
        </w:tc>
        <w:tc>
          <w:tcPr>
            <w:tcW w:w="462" w:type="pct"/>
          </w:tcPr>
          <w:p w:rsidRPr="006C28CC" w:rsidR="006C28CC" w:rsidP="000229E6" w:rsidRDefault="006C28CC" w14:paraId="6FFC5878" w14:textId="77777777">
            <w:pPr>
              <w:spacing w:after="0"/>
              <w:jc w:val="center"/>
              <w:cnfStyle w:val="000000100000" w:firstRow="0" w:lastRow="0" w:firstColumn="0" w:lastColumn="0" w:oddVBand="0" w:evenVBand="0" w:oddHBand="1" w:evenHBand="0" w:firstRowFirstColumn="0" w:firstRowLastColumn="0" w:lastRowFirstColumn="0" w:lastRowLastColumn="0"/>
            </w:pPr>
            <w:r w:rsidRPr="006C28CC">
              <w:t>N=3</w:t>
            </w:r>
          </w:p>
          <w:p w:rsidRPr="006C28CC" w:rsidR="006C28CC" w:rsidP="000229E6" w:rsidRDefault="006C28CC" w14:paraId="3EDAEB7B" w14:textId="77777777">
            <w:pPr>
              <w:spacing w:after="0"/>
              <w:jc w:val="center"/>
              <w:cnfStyle w:val="000000100000" w:firstRow="0" w:lastRow="0" w:firstColumn="0" w:lastColumn="0" w:oddVBand="0" w:evenVBand="0" w:oddHBand="1" w:evenHBand="0" w:firstRowFirstColumn="0" w:firstRowLastColumn="0" w:lastRowFirstColumn="0" w:lastRowLastColumn="0"/>
            </w:pPr>
            <w:r w:rsidRPr="006C28CC">
              <w:t>(9.1%)</w:t>
            </w:r>
          </w:p>
        </w:tc>
        <w:tc>
          <w:tcPr>
            <w:tcW w:w="599" w:type="pct"/>
          </w:tcPr>
          <w:p w:rsidRPr="006C28CC" w:rsidR="006C28CC" w:rsidP="000229E6" w:rsidRDefault="006C28CC" w14:paraId="6F889922" w14:textId="77777777">
            <w:pPr>
              <w:spacing w:after="0"/>
              <w:jc w:val="center"/>
              <w:cnfStyle w:val="000000100000" w:firstRow="0" w:lastRow="0" w:firstColumn="0" w:lastColumn="0" w:oddVBand="0" w:evenVBand="0" w:oddHBand="1" w:evenHBand="0" w:firstRowFirstColumn="0" w:firstRowLastColumn="0" w:lastRowFirstColumn="0" w:lastRowLastColumn="0"/>
            </w:pPr>
            <w:r w:rsidRPr="006C28CC">
              <w:t>N=8</w:t>
            </w:r>
          </w:p>
          <w:p w:rsidRPr="006C28CC" w:rsidR="006C28CC" w:rsidP="000229E6" w:rsidRDefault="006C28CC" w14:paraId="6667AA2E" w14:textId="77777777">
            <w:pPr>
              <w:spacing w:after="0"/>
              <w:jc w:val="center"/>
              <w:cnfStyle w:val="000000100000" w:firstRow="0" w:lastRow="0" w:firstColumn="0" w:lastColumn="0" w:oddVBand="0" w:evenVBand="0" w:oddHBand="1" w:evenHBand="0" w:firstRowFirstColumn="0" w:firstRowLastColumn="0" w:lastRowFirstColumn="0" w:lastRowLastColumn="0"/>
            </w:pPr>
            <w:r w:rsidRPr="006C28CC">
              <w:t>(24.2%)</w:t>
            </w:r>
          </w:p>
        </w:tc>
        <w:tc>
          <w:tcPr>
            <w:tcW w:w="806" w:type="pct"/>
          </w:tcPr>
          <w:p w:rsidRPr="006C28CC" w:rsidR="006C28CC" w:rsidP="000229E6" w:rsidRDefault="006C28CC" w14:paraId="31F8983A" w14:textId="77777777">
            <w:pPr>
              <w:spacing w:after="0"/>
              <w:jc w:val="center"/>
              <w:cnfStyle w:val="000000100000" w:firstRow="0" w:lastRow="0" w:firstColumn="0" w:lastColumn="0" w:oddVBand="0" w:evenVBand="0" w:oddHBand="1" w:evenHBand="0" w:firstRowFirstColumn="0" w:firstRowLastColumn="0" w:lastRowFirstColumn="0" w:lastRowLastColumn="0"/>
            </w:pPr>
            <w:r w:rsidRPr="006C28CC">
              <w:t>14</w:t>
            </w:r>
          </w:p>
        </w:tc>
      </w:tr>
      <w:tr w:rsidRPr="006C28CC" w:rsidR="006C28CC" w:rsidTr="000229E6" w14:paraId="1B5EA72B" w14:textId="77777777">
        <w:tc>
          <w:tcPr>
            <w:cnfStyle w:val="001000000000" w:firstRow="0" w:lastRow="0" w:firstColumn="1" w:lastColumn="0" w:oddVBand="0" w:evenVBand="0" w:oddHBand="0" w:evenHBand="0" w:firstRowFirstColumn="0" w:firstRowLastColumn="0" w:lastRowFirstColumn="0" w:lastRowLastColumn="0"/>
            <w:tcW w:w="1880" w:type="pct"/>
          </w:tcPr>
          <w:p w:rsidRPr="006C28CC" w:rsidR="006C28CC" w:rsidP="000229E6" w:rsidRDefault="006C28CC" w14:paraId="51F74A08" w14:textId="77777777">
            <w:pPr>
              <w:spacing w:after="120"/>
            </w:pPr>
            <w:r w:rsidRPr="006C28CC">
              <w:t>Social / Leisure and Engagement programmes</w:t>
            </w:r>
          </w:p>
        </w:tc>
        <w:tc>
          <w:tcPr>
            <w:tcW w:w="0" w:type="pct"/>
          </w:tcPr>
          <w:p w:rsidRPr="006C28CC" w:rsidR="006C28CC" w:rsidP="000229E6" w:rsidRDefault="006C28CC" w14:paraId="16DFE66E" w14:textId="77777777">
            <w:pPr>
              <w:spacing w:after="0"/>
              <w:jc w:val="center"/>
              <w:cnfStyle w:val="000000000000" w:firstRow="0" w:lastRow="0" w:firstColumn="0" w:lastColumn="0" w:oddVBand="0" w:evenVBand="0" w:oddHBand="0" w:evenHBand="0" w:firstRowFirstColumn="0" w:firstRowLastColumn="0" w:lastRowFirstColumn="0" w:lastRowLastColumn="0"/>
            </w:pPr>
            <w:r w:rsidRPr="006C28CC">
              <w:t>N=0</w:t>
            </w:r>
          </w:p>
          <w:p w:rsidRPr="006C28CC" w:rsidR="006C28CC" w:rsidP="000229E6" w:rsidRDefault="006C28CC" w14:paraId="2697D56A" w14:textId="77777777">
            <w:pPr>
              <w:spacing w:after="0"/>
              <w:jc w:val="center"/>
              <w:cnfStyle w:val="000000000000" w:firstRow="0" w:lastRow="0" w:firstColumn="0" w:lastColumn="0" w:oddVBand="0" w:evenVBand="0" w:oddHBand="0" w:evenHBand="0" w:firstRowFirstColumn="0" w:firstRowLastColumn="0" w:lastRowFirstColumn="0" w:lastRowLastColumn="0"/>
            </w:pPr>
            <w:r w:rsidRPr="006C28CC">
              <w:t>(0.0%)</w:t>
            </w:r>
          </w:p>
        </w:tc>
        <w:tc>
          <w:tcPr>
            <w:tcW w:w="528" w:type="pct"/>
          </w:tcPr>
          <w:p w:rsidRPr="006C28CC" w:rsidR="006C28CC" w:rsidP="000229E6" w:rsidRDefault="006C28CC" w14:paraId="29E319FA" w14:textId="77777777">
            <w:pPr>
              <w:spacing w:after="0"/>
              <w:jc w:val="center"/>
              <w:cnfStyle w:val="000000000000" w:firstRow="0" w:lastRow="0" w:firstColumn="0" w:lastColumn="0" w:oddVBand="0" w:evenVBand="0" w:oddHBand="0" w:evenHBand="0" w:firstRowFirstColumn="0" w:firstRowLastColumn="0" w:lastRowFirstColumn="0" w:lastRowLastColumn="0"/>
            </w:pPr>
            <w:r w:rsidRPr="006C28CC">
              <w:t>N=3</w:t>
            </w:r>
          </w:p>
          <w:p w:rsidRPr="006C28CC" w:rsidR="006C28CC" w:rsidP="000229E6" w:rsidRDefault="006C28CC" w14:paraId="086856D4" w14:textId="77777777">
            <w:pPr>
              <w:spacing w:after="0"/>
              <w:jc w:val="center"/>
              <w:cnfStyle w:val="000000000000" w:firstRow="0" w:lastRow="0" w:firstColumn="0" w:lastColumn="0" w:oddVBand="0" w:evenVBand="0" w:oddHBand="0" w:evenHBand="0" w:firstRowFirstColumn="0" w:firstRowLastColumn="0" w:lastRowFirstColumn="0" w:lastRowLastColumn="0"/>
            </w:pPr>
            <w:r w:rsidRPr="006C28CC">
              <w:t>(9.1%)</w:t>
            </w:r>
          </w:p>
        </w:tc>
        <w:tc>
          <w:tcPr>
            <w:tcW w:w="462" w:type="pct"/>
          </w:tcPr>
          <w:p w:rsidRPr="006C28CC" w:rsidR="006C28CC" w:rsidP="000229E6" w:rsidRDefault="006C28CC" w14:paraId="25D7AFAD" w14:textId="77777777">
            <w:pPr>
              <w:spacing w:after="0"/>
              <w:jc w:val="center"/>
              <w:cnfStyle w:val="000000000000" w:firstRow="0" w:lastRow="0" w:firstColumn="0" w:lastColumn="0" w:oddVBand="0" w:evenVBand="0" w:oddHBand="0" w:evenHBand="0" w:firstRowFirstColumn="0" w:firstRowLastColumn="0" w:lastRowFirstColumn="0" w:lastRowLastColumn="0"/>
            </w:pPr>
            <w:r w:rsidRPr="006C28CC">
              <w:t>N=3</w:t>
            </w:r>
          </w:p>
          <w:p w:rsidRPr="006C28CC" w:rsidR="006C28CC" w:rsidP="000229E6" w:rsidRDefault="006C28CC" w14:paraId="5E7B3D36" w14:textId="77777777">
            <w:pPr>
              <w:spacing w:after="0"/>
              <w:jc w:val="center"/>
              <w:cnfStyle w:val="000000000000" w:firstRow="0" w:lastRow="0" w:firstColumn="0" w:lastColumn="0" w:oddVBand="0" w:evenVBand="0" w:oddHBand="0" w:evenHBand="0" w:firstRowFirstColumn="0" w:firstRowLastColumn="0" w:lastRowFirstColumn="0" w:lastRowLastColumn="0"/>
            </w:pPr>
            <w:r w:rsidRPr="006C28CC">
              <w:t>(9.1%)</w:t>
            </w:r>
          </w:p>
        </w:tc>
        <w:tc>
          <w:tcPr>
            <w:tcW w:w="599" w:type="pct"/>
          </w:tcPr>
          <w:p w:rsidRPr="006C28CC" w:rsidR="006C28CC" w:rsidP="000229E6" w:rsidRDefault="006C28CC" w14:paraId="38E837C1" w14:textId="77777777">
            <w:pPr>
              <w:spacing w:after="0"/>
              <w:jc w:val="center"/>
              <w:cnfStyle w:val="000000000000" w:firstRow="0" w:lastRow="0" w:firstColumn="0" w:lastColumn="0" w:oddVBand="0" w:evenVBand="0" w:oddHBand="0" w:evenHBand="0" w:firstRowFirstColumn="0" w:firstRowLastColumn="0" w:lastRowFirstColumn="0" w:lastRowLastColumn="0"/>
            </w:pPr>
            <w:r w:rsidRPr="006C28CC">
              <w:t>N=6</w:t>
            </w:r>
          </w:p>
          <w:p w:rsidRPr="006C28CC" w:rsidR="006C28CC" w:rsidP="000229E6" w:rsidRDefault="006C28CC" w14:paraId="3FAFB99C" w14:textId="77777777">
            <w:pPr>
              <w:spacing w:after="0"/>
              <w:jc w:val="center"/>
              <w:cnfStyle w:val="000000000000" w:firstRow="0" w:lastRow="0" w:firstColumn="0" w:lastColumn="0" w:oddVBand="0" w:evenVBand="0" w:oddHBand="0" w:evenHBand="0" w:firstRowFirstColumn="0" w:firstRowLastColumn="0" w:lastRowFirstColumn="0" w:lastRowLastColumn="0"/>
            </w:pPr>
            <w:r w:rsidRPr="006C28CC">
              <w:t>(18.2%)</w:t>
            </w:r>
          </w:p>
        </w:tc>
        <w:tc>
          <w:tcPr>
            <w:tcW w:w="806" w:type="pct"/>
          </w:tcPr>
          <w:p w:rsidRPr="006C28CC" w:rsidR="006C28CC" w:rsidP="000229E6" w:rsidRDefault="006C28CC" w14:paraId="53706EFC" w14:textId="77777777">
            <w:pPr>
              <w:spacing w:after="0"/>
              <w:jc w:val="center"/>
              <w:cnfStyle w:val="000000000000" w:firstRow="0" w:lastRow="0" w:firstColumn="0" w:lastColumn="0" w:oddVBand="0" w:evenVBand="0" w:oddHBand="0" w:evenHBand="0" w:firstRowFirstColumn="0" w:firstRowLastColumn="0" w:lastRowFirstColumn="0" w:lastRowLastColumn="0"/>
            </w:pPr>
            <w:r w:rsidRPr="006C28CC">
              <w:t>12</w:t>
            </w:r>
          </w:p>
        </w:tc>
      </w:tr>
      <w:tr w:rsidRPr="006C28CC" w:rsidR="006C28CC" w:rsidTr="000229E6" w14:paraId="17FAF18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pct"/>
          </w:tcPr>
          <w:p w:rsidRPr="006C28CC" w:rsidR="006C28CC" w:rsidP="000229E6" w:rsidRDefault="006C28CC" w14:paraId="193FEC7F" w14:textId="77777777">
            <w:pPr>
              <w:spacing w:after="120"/>
            </w:pPr>
            <w:r w:rsidRPr="006C28CC">
              <w:t>Support groups (eg debt support group, social connection group)</w:t>
            </w:r>
          </w:p>
        </w:tc>
        <w:tc>
          <w:tcPr>
            <w:tcW w:w="0" w:type="pct"/>
          </w:tcPr>
          <w:p w:rsidRPr="006C28CC" w:rsidR="006C28CC" w:rsidP="000229E6" w:rsidRDefault="006C28CC" w14:paraId="44608FBD" w14:textId="77777777">
            <w:pPr>
              <w:spacing w:after="0"/>
              <w:jc w:val="center"/>
              <w:cnfStyle w:val="000000100000" w:firstRow="0" w:lastRow="0" w:firstColumn="0" w:lastColumn="0" w:oddVBand="0" w:evenVBand="0" w:oddHBand="1" w:evenHBand="0" w:firstRowFirstColumn="0" w:firstRowLastColumn="0" w:lastRowFirstColumn="0" w:lastRowLastColumn="0"/>
            </w:pPr>
            <w:r w:rsidRPr="006C28CC">
              <w:t>N=1</w:t>
            </w:r>
          </w:p>
          <w:p w:rsidRPr="006C28CC" w:rsidR="006C28CC" w:rsidP="000229E6" w:rsidRDefault="006C28CC" w14:paraId="47772A10" w14:textId="77777777">
            <w:pPr>
              <w:spacing w:after="0"/>
              <w:jc w:val="center"/>
              <w:cnfStyle w:val="000000100000" w:firstRow="0" w:lastRow="0" w:firstColumn="0" w:lastColumn="0" w:oddVBand="0" w:evenVBand="0" w:oddHBand="1" w:evenHBand="0" w:firstRowFirstColumn="0" w:firstRowLastColumn="0" w:lastRowFirstColumn="0" w:lastRowLastColumn="0"/>
            </w:pPr>
            <w:r w:rsidRPr="006C28CC">
              <w:t>(3.0%)</w:t>
            </w:r>
          </w:p>
        </w:tc>
        <w:tc>
          <w:tcPr>
            <w:tcW w:w="528" w:type="pct"/>
          </w:tcPr>
          <w:p w:rsidRPr="006C28CC" w:rsidR="006C28CC" w:rsidP="000229E6" w:rsidRDefault="006C28CC" w14:paraId="419590F0" w14:textId="77777777">
            <w:pPr>
              <w:spacing w:after="0"/>
              <w:jc w:val="center"/>
              <w:cnfStyle w:val="000000100000" w:firstRow="0" w:lastRow="0" w:firstColumn="0" w:lastColumn="0" w:oddVBand="0" w:evenVBand="0" w:oddHBand="1" w:evenHBand="0" w:firstRowFirstColumn="0" w:firstRowLastColumn="0" w:lastRowFirstColumn="0" w:lastRowLastColumn="0"/>
            </w:pPr>
            <w:r w:rsidRPr="006C28CC">
              <w:t>N=2 (6.1%)</w:t>
            </w:r>
          </w:p>
        </w:tc>
        <w:tc>
          <w:tcPr>
            <w:tcW w:w="462" w:type="pct"/>
          </w:tcPr>
          <w:p w:rsidRPr="006C28CC" w:rsidR="006C28CC" w:rsidP="000229E6" w:rsidRDefault="006C28CC" w14:paraId="21E61AF6" w14:textId="77777777">
            <w:pPr>
              <w:spacing w:after="0"/>
              <w:jc w:val="center"/>
              <w:cnfStyle w:val="000000100000" w:firstRow="0" w:lastRow="0" w:firstColumn="0" w:lastColumn="0" w:oddVBand="0" w:evenVBand="0" w:oddHBand="1" w:evenHBand="0" w:firstRowFirstColumn="0" w:firstRowLastColumn="0" w:lastRowFirstColumn="0" w:lastRowLastColumn="0"/>
            </w:pPr>
            <w:r w:rsidRPr="006C28CC">
              <w:t>N=0 (0.0%)</w:t>
            </w:r>
          </w:p>
        </w:tc>
        <w:tc>
          <w:tcPr>
            <w:tcW w:w="599" w:type="pct"/>
          </w:tcPr>
          <w:p w:rsidRPr="006C28CC" w:rsidR="006C28CC" w:rsidP="000229E6" w:rsidRDefault="006C28CC" w14:paraId="13A505B1" w14:textId="77777777">
            <w:pPr>
              <w:spacing w:after="0"/>
              <w:jc w:val="center"/>
              <w:cnfStyle w:val="000000100000" w:firstRow="0" w:lastRow="0" w:firstColumn="0" w:lastColumn="0" w:oddVBand="0" w:evenVBand="0" w:oddHBand="1" w:evenHBand="0" w:firstRowFirstColumn="0" w:firstRowLastColumn="0" w:lastRowFirstColumn="0" w:lastRowLastColumn="0"/>
            </w:pPr>
            <w:r w:rsidRPr="006C28CC">
              <w:t>N=2</w:t>
            </w:r>
          </w:p>
          <w:p w:rsidRPr="006C28CC" w:rsidR="006C28CC" w:rsidP="000229E6" w:rsidRDefault="006C28CC" w14:paraId="3CD8253A" w14:textId="77777777">
            <w:pPr>
              <w:spacing w:after="0"/>
              <w:jc w:val="center"/>
              <w:cnfStyle w:val="000000100000" w:firstRow="0" w:lastRow="0" w:firstColumn="0" w:lastColumn="0" w:oddVBand="0" w:evenVBand="0" w:oddHBand="1" w:evenHBand="0" w:firstRowFirstColumn="0" w:firstRowLastColumn="0" w:lastRowFirstColumn="0" w:lastRowLastColumn="0"/>
            </w:pPr>
            <w:r w:rsidRPr="006C28CC">
              <w:t>(6.1%)</w:t>
            </w:r>
          </w:p>
        </w:tc>
        <w:tc>
          <w:tcPr>
            <w:tcW w:w="806" w:type="pct"/>
          </w:tcPr>
          <w:p w:rsidRPr="006C28CC" w:rsidR="006C28CC" w:rsidP="000229E6" w:rsidRDefault="006C28CC" w14:paraId="4B18F850" w14:textId="77777777">
            <w:pPr>
              <w:spacing w:after="0"/>
              <w:jc w:val="center"/>
              <w:cnfStyle w:val="000000100000" w:firstRow="0" w:lastRow="0" w:firstColumn="0" w:lastColumn="0" w:oddVBand="0" w:evenVBand="0" w:oddHBand="1" w:evenHBand="0" w:firstRowFirstColumn="0" w:firstRowLastColumn="0" w:lastRowFirstColumn="0" w:lastRowLastColumn="0"/>
            </w:pPr>
            <w:r w:rsidRPr="006C28CC">
              <w:t>5</w:t>
            </w:r>
          </w:p>
        </w:tc>
      </w:tr>
      <w:tr w:rsidRPr="006C28CC" w:rsidR="006C28CC" w:rsidTr="000229E6" w14:paraId="187056B4" w14:textId="77777777">
        <w:tc>
          <w:tcPr>
            <w:cnfStyle w:val="001000000000" w:firstRow="0" w:lastRow="0" w:firstColumn="1" w:lastColumn="0" w:oddVBand="0" w:evenVBand="0" w:oddHBand="0" w:evenHBand="0" w:firstRowFirstColumn="0" w:firstRowLastColumn="0" w:lastRowFirstColumn="0" w:lastRowLastColumn="0"/>
            <w:tcW w:w="1880" w:type="pct"/>
          </w:tcPr>
          <w:p w:rsidRPr="006C28CC" w:rsidR="006C28CC" w:rsidP="000229E6" w:rsidRDefault="006C28CC" w14:paraId="11108111" w14:textId="77777777">
            <w:pPr>
              <w:spacing w:after="120"/>
            </w:pPr>
            <w:r w:rsidRPr="006C28CC">
              <w:t>Alternative services models (eg interpreted services, co-produced services)</w:t>
            </w:r>
          </w:p>
        </w:tc>
        <w:tc>
          <w:tcPr>
            <w:tcW w:w="0" w:type="pct"/>
          </w:tcPr>
          <w:p w:rsidRPr="006C28CC" w:rsidR="006C28CC" w:rsidP="000229E6" w:rsidRDefault="006C28CC" w14:paraId="4134256B" w14:textId="77777777">
            <w:pPr>
              <w:spacing w:after="0"/>
              <w:jc w:val="center"/>
              <w:cnfStyle w:val="000000000000" w:firstRow="0" w:lastRow="0" w:firstColumn="0" w:lastColumn="0" w:oddVBand="0" w:evenVBand="0" w:oddHBand="0" w:evenHBand="0" w:firstRowFirstColumn="0" w:firstRowLastColumn="0" w:lastRowFirstColumn="0" w:lastRowLastColumn="0"/>
            </w:pPr>
            <w:r w:rsidRPr="006C28CC">
              <w:t>N=1  (3.0%)</w:t>
            </w:r>
          </w:p>
        </w:tc>
        <w:tc>
          <w:tcPr>
            <w:tcW w:w="528" w:type="pct"/>
          </w:tcPr>
          <w:p w:rsidRPr="006C28CC" w:rsidR="006C28CC" w:rsidP="000229E6" w:rsidRDefault="006C28CC" w14:paraId="088C5536" w14:textId="77777777">
            <w:pPr>
              <w:spacing w:after="0"/>
              <w:jc w:val="center"/>
              <w:cnfStyle w:val="000000000000" w:firstRow="0" w:lastRow="0" w:firstColumn="0" w:lastColumn="0" w:oddVBand="0" w:evenVBand="0" w:oddHBand="0" w:evenHBand="0" w:firstRowFirstColumn="0" w:firstRowLastColumn="0" w:lastRowFirstColumn="0" w:lastRowLastColumn="0"/>
            </w:pPr>
            <w:r w:rsidRPr="006C28CC">
              <w:t>N=7</w:t>
            </w:r>
          </w:p>
          <w:p w:rsidRPr="006C28CC" w:rsidR="006C28CC" w:rsidP="000229E6" w:rsidRDefault="006C28CC" w14:paraId="0AADBC35" w14:textId="77777777">
            <w:pPr>
              <w:spacing w:after="0"/>
              <w:jc w:val="center"/>
              <w:cnfStyle w:val="000000000000" w:firstRow="0" w:lastRow="0" w:firstColumn="0" w:lastColumn="0" w:oddVBand="0" w:evenVBand="0" w:oddHBand="0" w:evenHBand="0" w:firstRowFirstColumn="0" w:firstRowLastColumn="0" w:lastRowFirstColumn="0" w:lastRowLastColumn="0"/>
            </w:pPr>
            <w:r w:rsidRPr="006C28CC">
              <w:t>(21.2%)</w:t>
            </w:r>
          </w:p>
        </w:tc>
        <w:tc>
          <w:tcPr>
            <w:tcW w:w="462" w:type="pct"/>
          </w:tcPr>
          <w:p w:rsidRPr="006C28CC" w:rsidR="006C28CC" w:rsidP="000229E6" w:rsidRDefault="006C28CC" w14:paraId="4619EA96" w14:textId="77777777">
            <w:pPr>
              <w:spacing w:after="0"/>
              <w:jc w:val="center"/>
              <w:cnfStyle w:val="000000000000" w:firstRow="0" w:lastRow="0" w:firstColumn="0" w:lastColumn="0" w:oddVBand="0" w:evenVBand="0" w:oddHBand="0" w:evenHBand="0" w:firstRowFirstColumn="0" w:firstRowLastColumn="0" w:lastRowFirstColumn="0" w:lastRowLastColumn="0"/>
            </w:pPr>
            <w:r w:rsidRPr="006C28CC">
              <w:t>N=2 (6.1%)</w:t>
            </w:r>
          </w:p>
        </w:tc>
        <w:tc>
          <w:tcPr>
            <w:tcW w:w="599" w:type="pct"/>
          </w:tcPr>
          <w:p w:rsidRPr="006C28CC" w:rsidR="006C28CC" w:rsidP="000229E6" w:rsidRDefault="006C28CC" w14:paraId="6B495235" w14:textId="77777777">
            <w:pPr>
              <w:spacing w:after="0"/>
              <w:jc w:val="center"/>
              <w:cnfStyle w:val="000000000000" w:firstRow="0" w:lastRow="0" w:firstColumn="0" w:lastColumn="0" w:oddVBand="0" w:evenVBand="0" w:oddHBand="0" w:evenHBand="0" w:firstRowFirstColumn="0" w:firstRowLastColumn="0" w:lastRowFirstColumn="0" w:lastRowLastColumn="0"/>
            </w:pPr>
            <w:r w:rsidRPr="006C28CC">
              <w:t>N=4  (12.1%)</w:t>
            </w:r>
          </w:p>
        </w:tc>
        <w:tc>
          <w:tcPr>
            <w:tcW w:w="806" w:type="pct"/>
          </w:tcPr>
          <w:p w:rsidRPr="006C28CC" w:rsidR="006C28CC" w:rsidP="000229E6" w:rsidRDefault="006C28CC" w14:paraId="76E3B3A9" w14:textId="77777777">
            <w:pPr>
              <w:spacing w:after="0"/>
              <w:jc w:val="center"/>
              <w:cnfStyle w:val="000000000000" w:firstRow="0" w:lastRow="0" w:firstColumn="0" w:lastColumn="0" w:oddVBand="0" w:evenVBand="0" w:oddHBand="0" w:evenHBand="0" w:firstRowFirstColumn="0" w:firstRowLastColumn="0" w:lastRowFirstColumn="0" w:lastRowLastColumn="0"/>
            </w:pPr>
            <w:r w:rsidRPr="006C28CC">
              <w:t>14</w:t>
            </w:r>
          </w:p>
        </w:tc>
      </w:tr>
      <w:tr w:rsidRPr="006C28CC" w:rsidR="006C28CC" w:rsidTr="000229E6" w14:paraId="1082731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pct"/>
          </w:tcPr>
          <w:p w:rsidRPr="006C28CC" w:rsidR="006C28CC" w:rsidP="000229E6" w:rsidRDefault="006C28CC" w14:paraId="28BAF80E" w14:textId="77777777">
            <w:pPr>
              <w:spacing w:after="120"/>
            </w:pPr>
            <w:r w:rsidRPr="006C28CC">
              <w:t>System change (eg greater integration of services such as housing, economic development)</w:t>
            </w:r>
          </w:p>
        </w:tc>
        <w:tc>
          <w:tcPr>
            <w:tcW w:w="0" w:type="pct"/>
          </w:tcPr>
          <w:p w:rsidRPr="006C28CC" w:rsidR="006C28CC" w:rsidP="000229E6" w:rsidRDefault="006C28CC" w14:paraId="27CB0190" w14:textId="77777777">
            <w:pPr>
              <w:spacing w:after="0"/>
              <w:jc w:val="center"/>
              <w:cnfStyle w:val="000000100000" w:firstRow="0" w:lastRow="0" w:firstColumn="0" w:lastColumn="0" w:oddVBand="0" w:evenVBand="0" w:oddHBand="1" w:evenHBand="0" w:firstRowFirstColumn="0" w:firstRowLastColumn="0" w:lastRowFirstColumn="0" w:lastRowLastColumn="0"/>
            </w:pPr>
            <w:r w:rsidRPr="006C28CC">
              <w:t>N=2  (6.1%)</w:t>
            </w:r>
          </w:p>
        </w:tc>
        <w:tc>
          <w:tcPr>
            <w:tcW w:w="528" w:type="pct"/>
          </w:tcPr>
          <w:p w:rsidRPr="006C28CC" w:rsidR="006C28CC" w:rsidP="000229E6" w:rsidRDefault="006C28CC" w14:paraId="3207A7F0" w14:textId="77777777">
            <w:pPr>
              <w:spacing w:after="0"/>
              <w:jc w:val="center"/>
              <w:cnfStyle w:val="000000100000" w:firstRow="0" w:lastRow="0" w:firstColumn="0" w:lastColumn="0" w:oddVBand="0" w:evenVBand="0" w:oddHBand="1" w:evenHBand="0" w:firstRowFirstColumn="0" w:firstRowLastColumn="0" w:lastRowFirstColumn="0" w:lastRowLastColumn="0"/>
            </w:pPr>
            <w:r w:rsidRPr="006C28CC">
              <w:t>N=1  (3.0%)</w:t>
            </w:r>
          </w:p>
        </w:tc>
        <w:tc>
          <w:tcPr>
            <w:tcW w:w="462" w:type="pct"/>
          </w:tcPr>
          <w:p w:rsidRPr="006C28CC" w:rsidR="006C28CC" w:rsidP="000229E6" w:rsidRDefault="006C28CC" w14:paraId="6AC2659F" w14:textId="77777777">
            <w:pPr>
              <w:spacing w:after="0"/>
              <w:jc w:val="center"/>
              <w:cnfStyle w:val="000000100000" w:firstRow="0" w:lastRow="0" w:firstColumn="0" w:lastColumn="0" w:oddVBand="0" w:evenVBand="0" w:oddHBand="1" w:evenHBand="0" w:firstRowFirstColumn="0" w:firstRowLastColumn="0" w:lastRowFirstColumn="0" w:lastRowLastColumn="0"/>
            </w:pPr>
            <w:r w:rsidRPr="006C28CC">
              <w:t>N=1  (3.0%)</w:t>
            </w:r>
          </w:p>
        </w:tc>
        <w:tc>
          <w:tcPr>
            <w:tcW w:w="599" w:type="pct"/>
          </w:tcPr>
          <w:p w:rsidRPr="006C28CC" w:rsidR="006C28CC" w:rsidP="000229E6" w:rsidRDefault="006C28CC" w14:paraId="3EC170E2" w14:textId="77777777">
            <w:pPr>
              <w:spacing w:after="0"/>
              <w:jc w:val="center"/>
              <w:cnfStyle w:val="000000100000" w:firstRow="0" w:lastRow="0" w:firstColumn="0" w:lastColumn="0" w:oddVBand="0" w:evenVBand="0" w:oddHBand="1" w:evenHBand="0" w:firstRowFirstColumn="0" w:firstRowLastColumn="0" w:lastRowFirstColumn="0" w:lastRowLastColumn="0"/>
            </w:pPr>
            <w:r w:rsidRPr="006C28CC">
              <w:t>N= 6  (18.2%)</w:t>
            </w:r>
          </w:p>
        </w:tc>
        <w:tc>
          <w:tcPr>
            <w:tcW w:w="806" w:type="pct"/>
          </w:tcPr>
          <w:p w:rsidRPr="006C28CC" w:rsidR="006C28CC" w:rsidP="000229E6" w:rsidRDefault="006C28CC" w14:paraId="1E146C10" w14:textId="77777777">
            <w:pPr>
              <w:spacing w:after="0"/>
              <w:jc w:val="center"/>
              <w:cnfStyle w:val="000000100000" w:firstRow="0" w:lastRow="0" w:firstColumn="0" w:lastColumn="0" w:oddVBand="0" w:evenVBand="0" w:oddHBand="1" w:evenHBand="0" w:firstRowFirstColumn="0" w:firstRowLastColumn="0" w:lastRowFirstColumn="0" w:lastRowLastColumn="0"/>
            </w:pPr>
            <w:r w:rsidRPr="006C28CC">
              <w:t>10</w:t>
            </w:r>
          </w:p>
        </w:tc>
      </w:tr>
    </w:tbl>
    <w:p w:rsidR="006C28CC" w:rsidP="006C28CC" w:rsidRDefault="006C28CC" w14:paraId="7786D614" w14:textId="77777777">
      <w:pPr>
        <w:spacing w:before="240"/>
      </w:pPr>
      <w:r w:rsidRPr="006C28CC">
        <w:t>Note: In total 33 reports contained information on specific methods. Where a paper contains more than one method (ie a series of case studies) each method has been included (by theme) a maximum of once.</w:t>
      </w:r>
    </w:p>
    <w:p w:rsidRPr="00E636B3" w:rsidR="006C28CC" w:rsidP="006C28CC" w:rsidRDefault="006C28CC" w14:paraId="0DCC4F68" w14:textId="76F65674">
      <w:pPr>
        <w:rPr>
          <w:b/>
          <w:bCs/>
        </w:rPr>
      </w:pPr>
      <w:r w:rsidRPr="00E636B3">
        <w:rPr>
          <w:b/>
          <w:bCs/>
        </w:rPr>
        <w:t xml:space="preserve">Table </w:t>
      </w:r>
      <w:r>
        <w:rPr>
          <w:b/>
          <w:bCs/>
        </w:rPr>
        <w:t>C2</w:t>
      </w:r>
      <w:r w:rsidRPr="00E636B3">
        <w:rPr>
          <w:b/>
          <w:bCs/>
        </w:rPr>
        <w:t xml:space="preserve"> – Number of </w:t>
      </w:r>
      <w:r>
        <w:rPr>
          <w:b/>
          <w:bCs/>
        </w:rPr>
        <w:t>method</w:t>
      </w:r>
      <w:r w:rsidRPr="00E636B3">
        <w:rPr>
          <w:b/>
          <w:bCs/>
        </w:rPr>
        <w:t>s referenced by type of area</w:t>
      </w:r>
    </w:p>
    <w:tbl>
      <w:tblPr>
        <w:tblStyle w:val="PlainTable1"/>
        <w:tblW w:w="0" w:type="auto"/>
        <w:tblLook w:val="04A0" w:firstRow="1" w:lastRow="0" w:firstColumn="1" w:lastColumn="0" w:noHBand="0" w:noVBand="1"/>
      </w:tblPr>
      <w:tblGrid>
        <w:gridCol w:w="3681"/>
        <w:gridCol w:w="1486"/>
        <w:gridCol w:w="1487"/>
        <w:gridCol w:w="1486"/>
        <w:gridCol w:w="1487"/>
      </w:tblGrid>
      <w:tr w:rsidRPr="00E636B3" w:rsidR="006C28CC" w:rsidTr="000229E6" w14:paraId="51C931A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Pr="00E636B3" w:rsidR="006C28CC" w:rsidP="000229E6" w:rsidRDefault="006C28CC" w14:paraId="720F03F9" w14:textId="77777777">
            <w:pPr>
              <w:spacing w:after="120"/>
              <w:rPr>
                <w:rFonts w:cs="Arial"/>
                <w:kern w:val="24"/>
                <w:szCs w:val="24"/>
              </w:rPr>
            </w:pPr>
          </w:p>
        </w:tc>
        <w:tc>
          <w:tcPr>
            <w:tcW w:w="1486" w:type="dxa"/>
          </w:tcPr>
          <w:p w:rsidRPr="00E636B3" w:rsidR="006C28CC" w:rsidP="000229E6" w:rsidRDefault="006C28CC" w14:paraId="45185454" w14:textId="77777777">
            <w:pPr>
              <w:spacing w:after="120"/>
              <w:cnfStyle w:val="100000000000" w:firstRow="1" w:lastRow="0" w:firstColumn="0" w:lastColumn="0" w:oddVBand="0" w:evenVBand="0" w:oddHBand="0" w:evenHBand="0" w:firstRowFirstColumn="0" w:firstRowLastColumn="0" w:lastRowFirstColumn="0" w:lastRowLastColumn="0"/>
              <w:rPr>
                <w:rFonts w:cs="Arial"/>
                <w:szCs w:val="24"/>
              </w:rPr>
            </w:pPr>
            <w:r w:rsidRPr="00E636B3">
              <w:rPr>
                <w:rFonts w:cs="Arial"/>
                <w:kern w:val="24"/>
                <w:szCs w:val="24"/>
              </w:rPr>
              <w:t>Urban</w:t>
            </w:r>
          </w:p>
        </w:tc>
        <w:tc>
          <w:tcPr>
            <w:tcW w:w="1487" w:type="dxa"/>
          </w:tcPr>
          <w:p w:rsidRPr="00E636B3" w:rsidR="006C28CC" w:rsidP="000229E6" w:rsidRDefault="006C28CC" w14:paraId="5167F182" w14:textId="77777777">
            <w:pPr>
              <w:spacing w:after="120"/>
              <w:cnfStyle w:val="100000000000" w:firstRow="1" w:lastRow="0" w:firstColumn="0" w:lastColumn="0" w:oddVBand="0" w:evenVBand="0" w:oddHBand="0" w:evenHBand="0" w:firstRowFirstColumn="0" w:firstRowLastColumn="0" w:lastRowFirstColumn="0" w:lastRowLastColumn="0"/>
              <w:rPr>
                <w:rFonts w:cs="Arial"/>
                <w:szCs w:val="24"/>
              </w:rPr>
            </w:pPr>
            <w:r w:rsidRPr="00E636B3">
              <w:rPr>
                <w:rFonts w:cs="Arial"/>
                <w:kern w:val="24"/>
                <w:szCs w:val="24"/>
              </w:rPr>
              <w:t>Rural</w:t>
            </w:r>
          </w:p>
        </w:tc>
        <w:tc>
          <w:tcPr>
            <w:tcW w:w="1486" w:type="dxa"/>
          </w:tcPr>
          <w:p w:rsidRPr="00E636B3" w:rsidR="006C28CC" w:rsidP="000229E6" w:rsidRDefault="006C28CC" w14:paraId="1BA8DDA6" w14:textId="77777777">
            <w:pPr>
              <w:spacing w:after="120"/>
              <w:cnfStyle w:val="100000000000" w:firstRow="1" w:lastRow="0" w:firstColumn="0" w:lastColumn="0" w:oddVBand="0" w:evenVBand="0" w:oddHBand="0" w:evenHBand="0" w:firstRowFirstColumn="0" w:firstRowLastColumn="0" w:lastRowFirstColumn="0" w:lastRowLastColumn="0"/>
              <w:rPr>
                <w:rFonts w:cs="Arial"/>
                <w:szCs w:val="24"/>
              </w:rPr>
            </w:pPr>
            <w:r w:rsidRPr="00E636B3">
              <w:rPr>
                <w:rFonts w:cs="Arial"/>
                <w:kern w:val="24"/>
                <w:szCs w:val="24"/>
              </w:rPr>
              <w:t>Mix</w:t>
            </w:r>
            <w:r>
              <w:rPr>
                <w:rFonts w:cs="Arial"/>
                <w:kern w:val="24"/>
                <w:szCs w:val="24"/>
              </w:rPr>
              <w:t>ed</w:t>
            </w:r>
          </w:p>
        </w:tc>
        <w:tc>
          <w:tcPr>
            <w:tcW w:w="1487" w:type="dxa"/>
          </w:tcPr>
          <w:p w:rsidRPr="00E636B3" w:rsidR="006C28CC" w:rsidP="000229E6" w:rsidRDefault="006C28CC" w14:paraId="384BDF7B" w14:textId="77777777">
            <w:pPr>
              <w:spacing w:after="120"/>
              <w:cnfStyle w:val="100000000000" w:firstRow="1" w:lastRow="0" w:firstColumn="0" w:lastColumn="0" w:oddVBand="0" w:evenVBand="0" w:oddHBand="0" w:evenHBand="0" w:firstRowFirstColumn="0" w:firstRowLastColumn="0" w:lastRowFirstColumn="0" w:lastRowLastColumn="0"/>
              <w:rPr>
                <w:rFonts w:cs="Arial"/>
                <w:szCs w:val="24"/>
              </w:rPr>
            </w:pPr>
            <w:r w:rsidRPr="00E636B3">
              <w:rPr>
                <w:rFonts w:cs="Arial"/>
                <w:kern w:val="24"/>
                <w:szCs w:val="24"/>
              </w:rPr>
              <w:t>Coastal</w:t>
            </w:r>
          </w:p>
        </w:tc>
      </w:tr>
      <w:tr w:rsidRPr="00E636B3" w:rsidR="006C28CC" w:rsidTr="000229E6" w14:paraId="5B7F530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Pr="00E636B3" w:rsidR="006C28CC" w:rsidP="000229E6" w:rsidRDefault="006C28CC" w14:paraId="2E8371F8" w14:textId="77777777">
            <w:pPr>
              <w:spacing w:after="120"/>
              <w:rPr>
                <w:rFonts w:cs="Arial"/>
                <w:kern w:val="24"/>
                <w:szCs w:val="24"/>
              </w:rPr>
            </w:pPr>
            <w:r w:rsidRPr="00E636B3">
              <w:rPr>
                <w:rFonts w:cs="Arial"/>
                <w:kern w:val="24"/>
                <w:szCs w:val="24"/>
              </w:rPr>
              <w:t xml:space="preserve">Number of papers </w:t>
            </w:r>
          </w:p>
        </w:tc>
        <w:tc>
          <w:tcPr>
            <w:tcW w:w="1486" w:type="dxa"/>
          </w:tcPr>
          <w:p w:rsidRPr="00E636B3" w:rsidR="006C28CC" w:rsidP="000229E6" w:rsidRDefault="006C28CC" w14:paraId="03B812CF" w14:textId="77777777">
            <w:pPr>
              <w:spacing w:after="120"/>
              <w:cnfStyle w:val="000000100000" w:firstRow="0" w:lastRow="0" w:firstColumn="0" w:lastColumn="0" w:oddVBand="0" w:evenVBand="0" w:oddHBand="1" w:evenHBand="0" w:firstRowFirstColumn="0" w:firstRowLastColumn="0" w:lastRowFirstColumn="0" w:lastRowLastColumn="0"/>
              <w:rPr>
                <w:rFonts w:cs="Arial"/>
                <w:szCs w:val="24"/>
              </w:rPr>
            </w:pPr>
            <w:r w:rsidRPr="00E636B3">
              <w:rPr>
                <w:rFonts w:cs="Arial"/>
                <w:kern w:val="24"/>
                <w:szCs w:val="24"/>
              </w:rPr>
              <w:t>N=17</w:t>
            </w:r>
          </w:p>
        </w:tc>
        <w:tc>
          <w:tcPr>
            <w:tcW w:w="1487" w:type="dxa"/>
          </w:tcPr>
          <w:p w:rsidRPr="00E636B3" w:rsidR="006C28CC" w:rsidP="000229E6" w:rsidRDefault="006C28CC" w14:paraId="47B64F43" w14:textId="77777777">
            <w:pPr>
              <w:spacing w:after="120"/>
              <w:cnfStyle w:val="000000100000" w:firstRow="0" w:lastRow="0" w:firstColumn="0" w:lastColumn="0" w:oddVBand="0" w:evenVBand="0" w:oddHBand="1" w:evenHBand="0" w:firstRowFirstColumn="0" w:firstRowLastColumn="0" w:lastRowFirstColumn="0" w:lastRowLastColumn="0"/>
              <w:rPr>
                <w:rFonts w:cs="Arial"/>
                <w:szCs w:val="24"/>
              </w:rPr>
            </w:pPr>
            <w:r w:rsidRPr="00E636B3">
              <w:rPr>
                <w:rFonts w:cs="Arial"/>
                <w:kern w:val="24"/>
                <w:szCs w:val="24"/>
              </w:rPr>
              <w:t>N=4</w:t>
            </w:r>
          </w:p>
        </w:tc>
        <w:tc>
          <w:tcPr>
            <w:tcW w:w="1486" w:type="dxa"/>
          </w:tcPr>
          <w:p w:rsidRPr="00E636B3" w:rsidR="006C28CC" w:rsidP="000229E6" w:rsidRDefault="006C28CC" w14:paraId="380BA2CB" w14:textId="77777777">
            <w:pPr>
              <w:spacing w:after="120"/>
              <w:cnfStyle w:val="000000100000" w:firstRow="0" w:lastRow="0" w:firstColumn="0" w:lastColumn="0" w:oddVBand="0" w:evenVBand="0" w:oddHBand="1" w:evenHBand="0" w:firstRowFirstColumn="0" w:firstRowLastColumn="0" w:lastRowFirstColumn="0" w:lastRowLastColumn="0"/>
              <w:rPr>
                <w:rFonts w:cs="Arial"/>
                <w:szCs w:val="24"/>
              </w:rPr>
            </w:pPr>
            <w:r w:rsidRPr="00E636B3">
              <w:rPr>
                <w:rFonts w:cs="Arial"/>
                <w:kern w:val="24"/>
                <w:szCs w:val="24"/>
              </w:rPr>
              <w:t>N=10</w:t>
            </w:r>
          </w:p>
        </w:tc>
        <w:tc>
          <w:tcPr>
            <w:tcW w:w="1487" w:type="dxa"/>
          </w:tcPr>
          <w:p w:rsidRPr="00E636B3" w:rsidR="006C28CC" w:rsidP="000229E6" w:rsidRDefault="006C28CC" w14:paraId="31711D57" w14:textId="77777777">
            <w:pPr>
              <w:spacing w:after="120"/>
              <w:cnfStyle w:val="000000100000" w:firstRow="0" w:lastRow="0" w:firstColumn="0" w:lastColumn="0" w:oddVBand="0" w:evenVBand="0" w:oddHBand="1" w:evenHBand="0" w:firstRowFirstColumn="0" w:firstRowLastColumn="0" w:lastRowFirstColumn="0" w:lastRowLastColumn="0"/>
              <w:rPr>
                <w:rFonts w:cs="Arial"/>
                <w:szCs w:val="24"/>
              </w:rPr>
            </w:pPr>
            <w:r w:rsidRPr="00E636B3">
              <w:rPr>
                <w:rFonts w:cs="Arial"/>
                <w:kern w:val="24"/>
                <w:szCs w:val="24"/>
              </w:rPr>
              <w:t>N=1</w:t>
            </w:r>
          </w:p>
        </w:tc>
      </w:tr>
    </w:tbl>
    <w:p w:rsidR="006C28CC" w:rsidP="006C28CC" w:rsidRDefault="006C28CC" w14:paraId="0ACFC677" w14:textId="5AD17705">
      <w:pPr>
        <w:spacing w:before="240"/>
      </w:pPr>
    </w:p>
    <w:p w:rsidR="004C0AB5" w:rsidRDefault="004C0AB5" w14:paraId="0B30034F" w14:textId="5FFD66D2">
      <w:pPr>
        <w:spacing w:after="160" w:line="259" w:lineRule="auto"/>
        <w:rPr>
          <w:rFonts w:eastAsiaTheme="majorEastAsia" w:cstheme="majorBidi"/>
          <w:bCs/>
          <w:sz w:val="40"/>
          <w:szCs w:val="28"/>
        </w:rPr>
      </w:pPr>
    </w:p>
    <w:p w:rsidR="004C0AB5" w:rsidP="00EC0502" w:rsidRDefault="004C0AB5" w14:paraId="0649ACFE" w14:textId="3F6A7B6A">
      <w:pPr>
        <w:pStyle w:val="Head12C2R"/>
        <w:framePr w:w="0" w:wrap="auto" w:yAlign="inline"/>
        <w:spacing w:after="240"/>
      </w:pPr>
      <w:bookmarkStart w:name="_Toc146539776" w:id="179"/>
      <w:r>
        <w:t xml:space="preserve">Annex </w:t>
      </w:r>
      <w:r w:rsidR="006C28CC">
        <w:t>E</w:t>
      </w:r>
      <w:r w:rsidR="00525AA5">
        <w:t xml:space="preserve"> – T</w:t>
      </w:r>
      <w:r w:rsidRPr="00365C10" w:rsidR="00525AA5">
        <w:t xml:space="preserve">heme </w:t>
      </w:r>
      <w:r w:rsidR="00525AA5">
        <w:t>3</w:t>
      </w:r>
      <w:r w:rsidR="006C28CC">
        <w:t xml:space="preserve"> Detailed results </w:t>
      </w:r>
      <w:r w:rsidRPr="00365C10" w:rsidR="00525AA5">
        <w:t>from the literature</w:t>
      </w:r>
      <w:bookmarkEnd w:id="179"/>
      <w:r w:rsidR="00525AA5">
        <w:t xml:space="preserve"> </w:t>
      </w:r>
    </w:p>
    <w:tbl>
      <w:tblPr>
        <w:tblStyle w:val="PlainTable1"/>
        <w:tblW w:w="0" w:type="auto"/>
        <w:tblLook w:val="0420" w:firstRow="1" w:lastRow="0" w:firstColumn="0" w:lastColumn="0" w:noHBand="0" w:noVBand="1"/>
      </w:tblPr>
      <w:tblGrid>
        <w:gridCol w:w="2304"/>
        <w:gridCol w:w="1928"/>
        <w:gridCol w:w="1552"/>
        <w:gridCol w:w="2062"/>
        <w:gridCol w:w="2065"/>
      </w:tblGrid>
      <w:tr w:rsidRPr="00446FA1" w:rsidR="004C0AB5" w:rsidTr="000229E6" w14:paraId="4D790B9D" w14:textId="77777777">
        <w:trPr>
          <w:cnfStyle w:val="100000000000" w:firstRow="1" w:lastRow="0" w:firstColumn="0" w:lastColumn="0" w:oddVBand="0" w:evenVBand="0" w:oddHBand="0" w:evenHBand="0" w:firstRowFirstColumn="0" w:firstRowLastColumn="0" w:lastRowFirstColumn="0" w:lastRowLastColumn="0"/>
          <w:trHeight w:val="20"/>
          <w:tblHeader/>
        </w:trPr>
        <w:tc>
          <w:tcPr>
            <w:tcW w:w="3539" w:type="dxa"/>
          </w:tcPr>
          <w:p w:rsidRPr="00446FA1" w:rsidR="004C0AB5" w:rsidP="000229E6" w:rsidRDefault="004C0AB5" w14:paraId="537E2F6A" w14:textId="77777777">
            <w:pPr>
              <w:spacing w:after="120"/>
              <w:rPr>
                <w:rFonts w:cs="Arial"/>
                <w:szCs w:val="24"/>
              </w:rPr>
            </w:pPr>
            <w:r w:rsidRPr="00446FA1">
              <w:rPr>
                <w:rFonts w:cs="Arial"/>
                <w:szCs w:val="24"/>
              </w:rPr>
              <w:t>Aim</w:t>
            </w:r>
          </w:p>
        </w:tc>
        <w:tc>
          <w:tcPr>
            <w:tcW w:w="2598" w:type="dxa"/>
          </w:tcPr>
          <w:p w:rsidRPr="00446FA1" w:rsidR="004C0AB5" w:rsidP="000229E6" w:rsidRDefault="004C0AB5" w14:paraId="2AEDD69E" w14:textId="77777777">
            <w:pPr>
              <w:spacing w:after="120"/>
              <w:rPr>
                <w:rFonts w:cs="Arial"/>
                <w:szCs w:val="24"/>
              </w:rPr>
            </w:pPr>
            <w:r w:rsidRPr="00446FA1">
              <w:rPr>
                <w:rFonts w:cs="Arial"/>
                <w:szCs w:val="24"/>
              </w:rPr>
              <w:t>Engagement approach</w:t>
            </w:r>
          </w:p>
        </w:tc>
        <w:tc>
          <w:tcPr>
            <w:tcW w:w="1559" w:type="dxa"/>
          </w:tcPr>
          <w:p w:rsidRPr="00446FA1" w:rsidR="004C0AB5" w:rsidP="000229E6" w:rsidRDefault="004C0AB5" w14:paraId="014F2E77" w14:textId="77777777">
            <w:pPr>
              <w:spacing w:after="120"/>
              <w:rPr>
                <w:rFonts w:cs="Arial"/>
                <w:b w:val="0"/>
                <w:bCs w:val="0"/>
                <w:szCs w:val="24"/>
              </w:rPr>
            </w:pPr>
            <w:r w:rsidRPr="00446FA1">
              <w:rPr>
                <w:rFonts w:cs="Arial"/>
                <w:szCs w:val="24"/>
              </w:rPr>
              <w:t xml:space="preserve">One-off or ongoing </w:t>
            </w:r>
          </w:p>
        </w:tc>
        <w:tc>
          <w:tcPr>
            <w:tcW w:w="3923" w:type="dxa"/>
          </w:tcPr>
          <w:p w:rsidRPr="00446FA1" w:rsidR="004C0AB5" w:rsidP="000229E6" w:rsidRDefault="004C0AB5" w14:paraId="55B62E25" w14:textId="77777777">
            <w:pPr>
              <w:spacing w:after="120"/>
              <w:rPr>
                <w:rFonts w:cs="Arial"/>
                <w:szCs w:val="24"/>
              </w:rPr>
            </w:pPr>
            <w:r w:rsidRPr="00446FA1">
              <w:rPr>
                <w:rFonts w:cs="Arial"/>
                <w:szCs w:val="24"/>
              </w:rPr>
              <w:t>Outcomes</w:t>
            </w:r>
          </w:p>
        </w:tc>
        <w:tc>
          <w:tcPr>
            <w:tcW w:w="3224" w:type="dxa"/>
          </w:tcPr>
          <w:p w:rsidRPr="00446FA1" w:rsidR="004C0AB5" w:rsidP="000229E6" w:rsidRDefault="004C0AB5" w14:paraId="49153402" w14:textId="77777777">
            <w:pPr>
              <w:spacing w:after="120"/>
              <w:rPr>
                <w:rFonts w:cs="Arial"/>
                <w:szCs w:val="24"/>
              </w:rPr>
            </w:pPr>
            <w:r w:rsidRPr="00446FA1">
              <w:rPr>
                <w:rFonts w:cs="Arial"/>
                <w:szCs w:val="24"/>
              </w:rPr>
              <w:t>Population</w:t>
            </w:r>
          </w:p>
        </w:tc>
      </w:tr>
      <w:tr w:rsidRPr="00446FA1" w:rsidR="004C0AB5" w:rsidTr="000229E6" w14:paraId="45B3B031" w14:textId="77777777">
        <w:trPr>
          <w:cnfStyle w:val="000000100000" w:firstRow="0" w:lastRow="0" w:firstColumn="0" w:lastColumn="0" w:oddVBand="0" w:evenVBand="0" w:oddHBand="1" w:evenHBand="0" w:firstRowFirstColumn="0" w:firstRowLastColumn="0" w:lastRowFirstColumn="0" w:lastRowLastColumn="0"/>
          <w:trHeight w:val="20"/>
        </w:trPr>
        <w:tc>
          <w:tcPr>
            <w:tcW w:w="0" w:type="auto"/>
            <w:gridSpan w:val="5"/>
          </w:tcPr>
          <w:p w:rsidRPr="00446FA1" w:rsidR="004C0AB5" w:rsidP="000229E6" w:rsidRDefault="004C0AB5" w14:paraId="37BF6C8A" w14:textId="77777777">
            <w:pPr>
              <w:spacing w:after="120"/>
              <w:jc w:val="center"/>
              <w:rPr>
                <w:rFonts w:cs="Arial"/>
                <w:b/>
                <w:bCs/>
                <w:szCs w:val="24"/>
              </w:rPr>
            </w:pPr>
            <w:r w:rsidRPr="00446FA1">
              <w:rPr>
                <w:rFonts w:cs="Arial"/>
                <w:szCs w:val="24"/>
              </w:rPr>
              <w:t>High relevancy and moderate robustness</w:t>
            </w:r>
          </w:p>
        </w:tc>
      </w:tr>
      <w:tr w:rsidRPr="00446FA1" w:rsidR="004C0AB5" w:rsidTr="000229E6" w14:paraId="589532A8" w14:textId="77777777">
        <w:trPr>
          <w:trHeight w:val="20"/>
        </w:trPr>
        <w:tc>
          <w:tcPr>
            <w:tcW w:w="3539" w:type="dxa"/>
          </w:tcPr>
          <w:p w:rsidRPr="00384A21" w:rsidR="004C0AB5" w:rsidP="000229E6" w:rsidRDefault="004C0AB5" w14:paraId="197B1B46" w14:textId="77777777">
            <w:pPr>
              <w:spacing w:after="120"/>
              <w:rPr>
                <w:rFonts w:cs="Arial"/>
                <w:szCs w:val="24"/>
              </w:rPr>
            </w:pPr>
            <w:r w:rsidRPr="00384A21">
              <w:rPr>
                <w:rFonts w:cs="Arial"/>
                <w:b/>
                <w:bCs/>
                <w:szCs w:val="24"/>
              </w:rPr>
              <w:t>Mughal et al. (2022)</w:t>
            </w:r>
            <w:r w:rsidRPr="00384A21">
              <w:rPr>
                <w:rFonts w:cs="Arial"/>
                <w:b/>
                <w:bCs/>
                <w:szCs w:val="24"/>
                <w:vertAlign w:val="superscript"/>
              </w:rPr>
              <w:t>16</w:t>
            </w:r>
            <w:r w:rsidRPr="00384A21">
              <w:rPr>
                <w:rFonts w:cs="Arial"/>
                <w:b/>
                <w:bCs/>
                <w:szCs w:val="24"/>
              </w:rPr>
              <w:t>:</w:t>
            </w:r>
            <w:r w:rsidRPr="00384A21">
              <w:rPr>
                <w:rFonts w:cs="Arial"/>
                <w:szCs w:val="24"/>
              </w:rPr>
              <w:t xml:space="preserve"> to assess the emergence of community-based arts, nature, music, theatre and other types of cultural engagement amongst UK communities in response to the </w:t>
            </w:r>
            <w:r w:rsidRPr="00384A21">
              <w:rPr>
                <w:rFonts w:eastAsia="Arial" w:cs="Arial"/>
                <w:szCs w:val="24"/>
              </w:rPr>
              <w:t>Coronavirus disease</w:t>
            </w:r>
            <w:r w:rsidRPr="00384A21">
              <w:rPr>
                <w:rFonts w:cs="Arial"/>
                <w:szCs w:val="24"/>
              </w:rPr>
              <w:t xml:space="preserve"> (COVID-19) pandemic</w:t>
            </w:r>
          </w:p>
        </w:tc>
        <w:tc>
          <w:tcPr>
            <w:tcW w:w="2598" w:type="dxa"/>
          </w:tcPr>
          <w:p w:rsidRPr="00446FA1" w:rsidR="004C0AB5" w:rsidP="000229E6" w:rsidRDefault="004C0AB5" w14:paraId="22D20D3F" w14:textId="77777777">
            <w:pPr>
              <w:spacing w:after="120"/>
              <w:rPr>
                <w:rFonts w:cs="Arial"/>
                <w:szCs w:val="24"/>
                <w:highlight w:val="yellow"/>
              </w:rPr>
            </w:pPr>
            <w:r w:rsidRPr="00114BB9">
              <w:rPr>
                <w:rFonts w:cs="Arial"/>
                <w:szCs w:val="24"/>
              </w:rPr>
              <w:t>Salutogenic</w:t>
            </w:r>
            <w:r>
              <w:rPr>
                <w:rFonts w:cs="Arial"/>
                <w:szCs w:val="24"/>
              </w:rPr>
              <w:t xml:space="preserve"> </w:t>
            </w:r>
            <w:r w:rsidRPr="00114BB9">
              <w:rPr>
                <w:rFonts w:cs="Arial"/>
                <w:szCs w:val="24"/>
              </w:rPr>
              <w:t>approaches occur alongside and reinforce traditional community and public health</w:t>
            </w:r>
            <w:r>
              <w:rPr>
                <w:rFonts w:cs="Arial"/>
                <w:szCs w:val="24"/>
              </w:rPr>
              <w:t xml:space="preserve"> </w:t>
            </w:r>
            <w:r w:rsidRPr="00114BB9">
              <w:rPr>
                <w:rFonts w:cs="Arial"/>
                <w:szCs w:val="24"/>
              </w:rPr>
              <w:t xml:space="preserve">approaches </w:t>
            </w:r>
          </w:p>
        </w:tc>
        <w:tc>
          <w:tcPr>
            <w:tcW w:w="1559" w:type="dxa"/>
          </w:tcPr>
          <w:p w:rsidRPr="00114BB9" w:rsidR="004C0AB5" w:rsidP="000229E6" w:rsidRDefault="004C0AB5" w14:paraId="6F52E1EE" w14:textId="77777777">
            <w:pPr>
              <w:spacing w:after="120"/>
              <w:rPr>
                <w:rFonts w:cs="Arial"/>
                <w:szCs w:val="24"/>
              </w:rPr>
            </w:pPr>
            <w:r w:rsidRPr="00114BB9">
              <w:rPr>
                <w:rFonts w:cs="Arial"/>
                <w:szCs w:val="24"/>
              </w:rPr>
              <w:t>N/A</w:t>
            </w:r>
          </w:p>
        </w:tc>
        <w:tc>
          <w:tcPr>
            <w:tcW w:w="3923" w:type="dxa"/>
          </w:tcPr>
          <w:p w:rsidRPr="00114BB9" w:rsidR="004C0AB5" w:rsidP="000229E6" w:rsidRDefault="004C0AB5" w14:paraId="59B26291" w14:textId="77777777">
            <w:pPr>
              <w:spacing w:after="120"/>
              <w:rPr>
                <w:rFonts w:cs="Arial"/>
                <w:szCs w:val="24"/>
              </w:rPr>
            </w:pPr>
            <w:r w:rsidRPr="00114BB9">
              <w:rPr>
                <w:rFonts w:cs="Arial"/>
                <w:szCs w:val="24"/>
              </w:rPr>
              <w:t>N/A</w:t>
            </w:r>
          </w:p>
        </w:tc>
        <w:tc>
          <w:tcPr>
            <w:tcW w:w="3224" w:type="dxa"/>
          </w:tcPr>
          <w:p w:rsidRPr="00446FA1" w:rsidR="004C0AB5" w:rsidP="000229E6" w:rsidRDefault="004C0AB5" w14:paraId="2B7C3F4D" w14:textId="77777777">
            <w:pPr>
              <w:spacing w:after="120"/>
              <w:rPr>
                <w:rFonts w:cs="Arial"/>
                <w:szCs w:val="24"/>
              </w:rPr>
            </w:pPr>
            <w:r>
              <w:rPr>
                <w:rFonts w:cs="Arial"/>
                <w:szCs w:val="24"/>
              </w:rPr>
              <w:t>S</w:t>
            </w:r>
            <w:r w:rsidRPr="00A01651">
              <w:rPr>
                <w:rFonts w:cs="Arial"/>
                <w:szCs w:val="24"/>
              </w:rPr>
              <w:t>ocio-economically disadvantage</w:t>
            </w:r>
            <w:r>
              <w:rPr>
                <w:rFonts w:cs="Arial"/>
                <w:szCs w:val="24"/>
              </w:rPr>
              <w:t>d populations</w:t>
            </w:r>
            <w:r w:rsidRPr="00114BB9">
              <w:rPr>
                <w:rFonts w:cs="Arial"/>
                <w:szCs w:val="24"/>
              </w:rPr>
              <w:t xml:space="preserve"> </w:t>
            </w:r>
            <w:r>
              <w:rPr>
                <w:rFonts w:cs="Arial"/>
                <w:szCs w:val="24"/>
              </w:rPr>
              <w:t>at risk of inequality</w:t>
            </w:r>
            <w:r w:rsidRPr="00114BB9" w:rsidDel="00A01651">
              <w:rPr>
                <w:rFonts w:cs="Arial"/>
                <w:szCs w:val="24"/>
              </w:rPr>
              <w:t xml:space="preserve"> </w:t>
            </w:r>
          </w:p>
        </w:tc>
      </w:tr>
      <w:tr w:rsidRPr="00446FA1" w:rsidR="004C0AB5" w:rsidTr="000229E6" w14:paraId="51320902" w14:textId="77777777">
        <w:trPr>
          <w:cnfStyle w:val="000000100000" w:firstRow="0" w:lastRow="0" w:firstColumn="0" w:lastColumn="0" w:oddVBand="0" w:evenVBand="0" w:oddHBand="1" w:evenHBand="0" w:firstRowFirstColumn="0" w:firstRowLastColumn="0" w:lastRowFirstColumn="0" w:lastRowLastColumn="0"/>
          <w:trHeight w:val="20"/>
        </w:trPr>
        <w:tc>
          <w:tcPr>
            <w:tcW w:w="3539" w:type="dxa"/>
          </w:tcPr>
          <w:p w:rsidRPr="00384A21" w:rsidR="004C0AB5" w:rsidP="000229E6" w:rsidRDefault="004C0AB5" w14:paraId="6EC52E05" w14:textId="471416AE">
            <w:pPr>
              <w:spacing w:after="120"/>
              <w:rPr>
                <w:rFonts w:cs="Arial"/>
                <w:szCs w:val="24"/>
              </w:rPr>
            </w:pPr>
            <w:r w:rsidRPr="00384A21">
              <w:rPr>
                <w:rFonts w:cs="Arial"/>
                <w:b/>
                <w:bCs/>
                <w:szCs w:val="24"/>
              </w:rPr>
              <w:t>Snooks et al. (2011)</w:t>
            </w:r>
            <w:r w:rsidRPr="00384A21">
              <w:rPr>
                <w:rFonts w:cs="Arial"/>
                <w:b/>
                <w:bCs/>
                <w:szCs w:val="24"/>
                <w:vertAlign w:val="superscript"/>
              </w:rPr>
              <w:t>4</w:t>
            </w:r>
            <w:r w:rsidR="00CD2A86">
              <w:rPr>
                <w:rFonts w:cs="Arial"/>
                <w:b/>
                <w:bCs/>
                <w:szCs w:val="24"/>
                <w:vertAlign w:val="superscript"/>
              </w:rPr>
              <w:t>7</w:t>
            </w:r>
            <w:r w:rsidRPr="00384A21">
              <w:rPr>
                <w:rFonts w:cs="Arial"/>
                <w:b/>
                <w:bCs/>
                <w:szCs w:val="24"/>
              </w:rPr>
              <w:t>:</w:t>
            </w:r>
            <w:r w:rsidRPr="00384A21">
              <w:rPr>
                <w:rFonts w:cs="Arial"/>
                <w:szCs w:val="24"/>
              </w:rPr>
              <w:t xml:space="preserve"> to develop a ‘Healthy Living’ Approach (HLA) to community development.</w:t>
            </w:r>
          </w:p>
        </w:tc>
        <w:tc>
          <w:tcPr>
            <w:tcW w:w="2598" w:type="dxa"/>
          </w:tcPr>
          <w:p w:rsidRPr="00446FA1" w:rsidR="004C0AB5" w:rsidP="000229E6" w:rsidRDefault="004C0AB5" w14:paraId="1D83719A" w14:textId="77777777">
            <w:pPr>
              <w:spacing w:after="120"/>
              <w:rPr>
                <w:rFonts w:cs="Arial"/>
                <w:szCs w:val="24"/>
              </w:rPr>
            </w:pPr>
            <w:r w:rsidRPr="00446FA1">
              <w:rPr>
                <w:rFonts w:cs="Arial"/>
                <w:szCs w:val="24"/>
              </w:rPr>
              <w:t>An HLA approach</w:t>
            </w:r>
            <w:r>
              <w:rPr>
                <w:rFonts w:cs="Arial"/>
                <w:szCs w:val="24"/>
              </w:rPr>
              <w:t xml:space="preserve"> involves recruiting and training l</w:t>
            </w:r>
            <w:r w:rsidRPr="00446FA1">
              <w:rPr>
                <w:rFonts w:cs="Arial"/>
                <w:szCs w:val="24"/>
              </w:rPr>
              <w:t>ocal people as community researchers</w:t>
            </w:r>
            <w:r>
              <w:rPr>
                <w:rFonts w:cs="Arial"/>
                <w:szCs w:val="24"/>
              </w:rPr>
              <w:t>; t</w:t>
            </w:r>
            <w:r w:rsidRPr="00446FA1">
              <w:rPr>
                <w:rFonts w:cs="Arial"/>
                <w:szCs w:val="24"/>
              </w:rPr>
              <w:t>he action researcher supports community forums to coordinate and communicate across the statutory - voluntary - community partnership</w:t>
            </w:r>
          </w:p>
        </w:tc>
        <w:tc>
          <w:tcPr>
            <w:tcW w:w="1559" w:type="dxa"/>
          </w:tcPr>
          <w:p w:rsidRPr="00446FA1" w:rsidR="004C0AB5" w:rsidP="000229E6" w:rsidRDefault="004C0AB5" w14:paraId="56A9D71E" w14:textId="77777777">
            <w:pPr>
              <w:spacing w:after="120"/>
              <w:rPr>
                <w:rFonts w:cs="Arial"/>
                <w:szCs w:val="24"/>
              </w:rPr>
            </w:pPr>
            <w:r w:rsidRPr="00446FA1">
              <w:rPr>
                <w:rFonts w:cs="Arial"/>
                <w:szCs w:val="24"/>
              </w:rPr>
              <w:t>One-off</w:t>
            </w:r>
          </w:p>
        </w:tc>
        <w:tc>
          <w:tcPr>
            <w:tcW w:w="3923" w:type="dxa"/>
          </w:tcPr>
          <w:p w:rsidRPr="00446FA1" w:rsidR="004C0AB5" w:rsidP="000229E6" w:rsidRDefault="004C0AB5" w14:paraId="4CAE8040" w14:textId="77777777">
            <w:pPr>
              <w:spacing w:after="120"/>
              <w:rPr>
                <w:rFonts w:cs="Arial"/>
                <w:szCs w:val="24"/>
              </w:rPr>
            </w:pPr>
            <w:r w:rsidRPr="00446FA1">
              <w:rPr>
                <w:rFonts w:cs="Arial"/>
                <w:szCs w:val="24"/>
              </w:rPr>
              <w:t>Communities produce</w:t>
            </w:r>
            <w:r>
              <w:rPr>
                <w:rFonts w:cs="Arial"/>
                <w:szCs w:val="24"/>
              </w:rPr>
              <w:t>d</w:t>
            </w:r>
            <w:r w:rsidRPr="00446FA1">
              <w:rPr>
                <w:rFonts w:cs="Arial"/>
                <w:szCs w:val="24"/>
              </w:rPr>
              <w:t xml:space="preserve"> and disseminate</w:t>
            </w:r>
            <w:r>
              <w:rPr>
                <w:rFonts w:cs="Arial"/>
                <w:szCs w:val="24"/>
              </w:rPr>
              <w:t>d</w:t>
            </w:r>
            <w:r w:rsidRPr="00446FA1">
              <w:rPr>
                <w:rFonts w:cs="Arial"/>
                <w:szCs w:val="24"/>
              </w:rPr>
              <w:t xml:space="preserve"> action plans based on locally identified needs</w:t>
            </w:r>
            <w:r>
              <w:rPr>
                <w:rFonts w:cs="Arial"/>
                <w:szCs w:val="24"/>
              </w:rPr>
              <w:t xml:space="preserve">; </w:t>
            </w:r>
            <w:r w:rsidRPr="00446FA1">
              <w:rPr>
                <w:rFonts w:cs="Arial"/>
                <w:szCs w:val="24"/>
              </w:rPr>
              <w:t>few community changes had occurred</w:t>
            </w:r>
            <w:r>
              <w:rPr>
                <w:rFonts w:cs="Arial"/>
                <w:szCs w:val="24"/>
              </w:rPr>
              <w:t xml:space="preserve"> due to a slow process; c</w:t>
            </w:r>
            <w:r w:rsidRPr="00446FA1">
              <w:rPr>
                <w:rFonts w:cs="Arial"/>
                <w:szCs w:val="24"/>
              </w:rPr>
              <w:t>ommunity participants gained skills and confidence</w:t>
            </w:r>
            <w:r>
              <w:rPr>
                <w:rFonts w:cs="Arial"/>
                <w:szCs w:val="24"/>
              </w:rPr>
              <w:t>; c</w:t>
            </w:r>
            <w:r w:rsidRPr="00446FA1">
              <w:rPr>
                <w:rFonts w:cs="Arial"/>
                <w:szCs w:val="24"/>
              </w:rPr>
              <w:t xml:space="preserve">ross-sector partnership working </w:t>
            </w:r>
            <w:r>
              <w:rPr>
                <w:rFonts w:cs="Arial"/>
                <w:szCs w:val="24"/>
              </w:rPr>
              <w:t xml:space="preserve">was </w:t>
            </w:r>
            <w:r w:rsidRPr="00446FA1">
              <w:rPr>
                <w:rFonts w:cs="Arial"/>
                <w:szCs w:val="24"/>
              </w:rPr>
              <w:t>developed</w:t>
            </w:r>
          </w:p>
        </w:tc>
        <w:tc>
          <w:tcPr>
            <w:tcW w:w="3224" w:type="dxa"/>
          </w:tcPr>
          <w:p w:rsidRPr="00446FA1" w:rsidR="004C0AB5" w:rsidP="000229E6" w:rsidRDefault="004C0AB5" w14:paraId="5D7AF5BC" w14:textId="77777777">
            <w:pPr>
              <w:spacing w:after="120"/>
              <w:rPr>
                <w:rFonts w:cs="Arial"/>
                <w:szCs w:val="24"/>
              </w:rPr>
            </w:pPr>
            <w:r w:rsidRPr="00446FA1">
              <w:rPr>
                <w:rFonts w:cs="Arial"/>
                <w:szCs w:val="24"/>
              </w:rPr>
              <w:t xml:space="preserve">Two </w:t>
            </w:r>
            <w:r w:rsidRPr="00A01651">
              <w:rPr>
                <w:rFonts w:cs="Arial"/>
                <w:szCs w:val="24"/>
              </w:rPr>
              <w:t>socio-economically disadvantaged</w:t>
            </w:r>
            <w:r w:rsidRPr="00446FA1">
              <w:rPr>
                <w:rFonts w:cs="Arial"/>
                <w:szCs w:val="24"/>
              </w:rPr>
              <w:t xml:space="preserve"> communities in Pembrokeshire, West Wales</w:t>
            </w:r>
          </w:p>
        </w:tc>
      </w:tr>
      <w:tr w:rsidRPr="00446FA1" w:rsidR="004C0AB5" w:rsidTr="000229E6" w14:paraId="5DB7EE99" w14:textId="77777777">
        <w:trPr>
          <w:trHeight w:val="20"/>
        </w:trPr>
        <w:tc>
          <w:tcPr>
            <w:tcW w:w="3539" w:type="dxa"/>
          </w:tcPr>
          <w:p w:rsidRPr="00F12840" w:rsidR="004C0AB5" w:rsidP="000229E6" w:rsidRDefault="004C0AB5" w14:paraId="07907828" w14:textId="77777777">
            <w:pPr>
              <w:spacing w:after="120"/>
              <w:rPr>
                <w:rFonts w:cs="Arial"/>
                <w:szCs w:val="24"/>
              </w:rPr>
            </w:pPr>
            <w:r w:rsidRPr="00F12840">
              <w:rPr>
                <w:rFonts w:cs="Arial"/>
                <w:b/>
                <w:bCs/>
                <w:szCs w:val="24"/>
              </w:rPr>
              <w:t>Lawlor et al. (2019)</w:t>
            </w:r>
            <w:r w:rsidRPr="00F12840">
              <w:rPr>
                <w:rFonts w:cs="Arial"/>
                <w:b/>
                <w:bCs/>
                <w:szCs w:val="24"/>
                <w:vertAlign w:val="superscript"/>
              </w:rPr>
              <w:t>24</w:t>
            </w:r>
            <w:r w:rsidRPr="00F12840">
              <w:rPr>
                <w:rFonts w:cs="Arial"/>
                <w:b/>
                <w:bCs/>
                <w:szCs w:val="24"/>
              </w:rPr>
              <w:t>:</w:t>
            </w:r>
            <w:r w:rsidRPr="00F12840">
              <w:rPr>
                <w:rFonts w:cs="Arial"/>
                <w:szCs w:val="24"/>
              </w:rPr>
              <w:t xml:space="preserve"> to develop and test the feasibility of a physical activity (PA) promoting intervention for older women within existing community groups</w:t>
            </w:r>
          </w:p>
        </w:tc>
        <w:tc>
          <w:tcPr>
            <w:tcW w:w="2598" w:type="dxa"/>
          </w:tcPr>
          <w:p w:rsidRPr="00446FA1" w:rsidR="004C0AB5" w:rsidP="000229E6" w:rsidRDefault="004C0AB5" w14:paraId="4C5E559F" w14:textId="77777777">
            <w:pPr>
              <w:spacing w:after="120"/>
              <w:rPr>
                <w:rFonts w:cs="Arial"/>
                <w:szCs w:val="24"/>
              </w:rPr>
            </w:pPr>
            <w:r w:rsidRPr="00446FA1">
              <w:rPr>
                <w:rFonts w:cs="Arial"/>
                <w:szCs w:val="24"/>
              </w:rPr>
              <w:t>This intervention was informed by Social Practice Theory (SPT) which enables behaviours to be considered as a social issue rather than focusing on individuals’ attitudes</w:t>
            </w:r>
          </w:p>
        </w:tc>
        <w:tc>
          <w:tcPr>
            <w:tcW w:w="1559" w:type="dxa"/>
          </w:tcPr>
          <w:p w:rsidRPr="00446FA1" w:rsidR="004C0AB5" w:rsidP="000229E6" w:rsidRDefault="004C0AB5" w14:paraId="5A078C5A" w14:textId="77777777">
            <w:pPr>
              <w:spacing w:after="120"/>
              <w:rPr>
                <w:rFonts w:cs="Arial"/>
                <w:szCs w:val="24"/>
              </w:rPr>
            </w:pPr>
            <w:r w:rsidRPr="00446FA1">
              <w:rPr>
                <w:rFonts w:cs="Arial"/>
                <w:szCs w:val="24"/>
              </w:rPr>
              <w:t>One-off trial</w:t>
            </w:r>
          </w:p>
        </w:tc>
        <w:tc>
          <w:tcPr>
            <w:tcW w:w="3923" w:type="dxa"/>
          </w:tcPr>
          <w:p w:rsidRPr="004A552F" w:rsidR="004C0AB5" w:rsidP="000229E6" w:rsidRDefault="004C0AB5" w14:paraId="6EA03F7F" w14:textId="77777777">
            <w:pPr>
              <w:spacing w:after="120"/>
              <w:rPr>
                <w:rFonts w:cs="Arial"/>
                <w:szCs w:val="24"/>
              </w:rPr>
            </w:pPr>
            <w:r w:rsidRPr="004A552F">
              <w:rPr>
                <w:rFonts w:cs="Arial"/>
                <w:szCs w:val="24"/>
              </w:rPr>
              <w:t>Use of existing social support groups is an acceptable and attractive method of delivering a PA intervention to the specified population</w:t>
            </w:r>
          </w:p>
        </w:tc>
        <w:tc>
          <w:tcPr>
            <w:tcW w:w="3224" w:type="dxa"/>
          </w:tcPr>
          <w:p w:rsidRPr="00446FA1" w:rsidR="004C0AB5" w:rsidP="000229E6" w:rsidRDefault="004C0AB5" w14:paraId="14B0CD12" w14:textId="77777777">
            <w:pPr>
              <w:spacing w:after="120"/>
              <w:rPr>
                <w:rFonts w:cs="Arial"/>
                <w:szCs w:val="24"/>
              </w:rPr>
            </w:pPr>
            <w:r w:rsidRPr="00446FA1">
              <w:rPr>
                <w:rFonts w:cs="Arial"/>
                <w:szCs w:val="24"/>
              </w:rPr>
              <w:t>Older women in socio-economically disadvantaged areas (Belfast area)</w:t>
            </w:r>
          </w:p>
        </w:tc>
      </w:tr>
      <w:tr w:rsidRPr="00446FA1" w:rsidR="004C0AB5" w:rsidTr="000229E6" w14:paraId="49377FF7" w14:textId="77777777">
        <w:trPr>
          <w:cnfStyle w:val="000000100000" w:firstRow="0" w:lastRow="0" w:firstColumn="0" w:lastColumn="0" w:oddVBand="0" w:evenVBand="0" w:oddHBand="1" w:evenHBand="0" w:firstRowFirstColumn="0" w:firstRowLastColumn="0" w:lastRowFirstColumn="0" w:lastRowLastColumn="0"/>
          <w:trHeight w:val="20"/>
        </w:trPr>
        <w:tc>
          <w:tcPr>
            <w:tcW w:w="3539" w:type="dxa"/>
          </w:tcPr>
          <w:p w:rsidRPr="00F12840" w:rsidR="004C0AB5" w:rsidP="000229E6" w:rsidRDefault="004C0AB5" w14:paraId="74495339" w14:textId="77777777">
            <w:pPr>
              <w:spacing w:after="120"/>
              <w:rPr>
                <w:rFonts w:cs="Arial"/>
                <w:szCs w:val="24"/>
              </w:rPr>
            </w:pPr>
            <w:r w:rsidRPr="00F12840">
              <w:rPr>
                <w:rFonts w:cs="Arial"/>
                <w:b/>
                <w:bCs/>
                <w:szCs w:val="24"/>
              </w:rPr>
              <w:t>Wright-Bevans et al. (2020)</w:t>
            </w:r>
            <w:r w:rsidRPr="00F12840">
              <w:rPr>
                <w:rFonts w:cs="Arial"/>
                <w:b/>
                <w:bCs/>
                <w:szCs w:val="24"/>
                <w:vertAlign w:val="superscript"/>
              </w:rPr>
              <w:t>48</w:t>
            </w:r>
            <w:r w:rsidRPr="00F12840">
              <w:rPr>
                <w:rFonts w:cs="Arial"/>
                <w:b/>
                <w:bCs/>
                <w:szCs w:val="24"/>
              </w:rPr>
              <w:t>:</w:t>
            </w:r>
            <w:r w:rsidRPr="00F12840">
              <w:rPr>
                <w:rFonts w:cs="Arial"/>
                <w:szCs w:val="24"/>
              </w:rPr>
              <w:t xml:space="preserve"> to understand the mechanisms of successful community consultation for older adults in one of the most socio-economically disadvantaged local authority areas in the UK</w:t>
            </w:r>
          </w:p>
        </w:tc>
        <w:tc>
          <w:tcPr>
            <w:tcW w:w="2598" w:type="dxa"/>
          </w:tcPr>
          <w:p w:rsidRPr="00446FA1" w:rsidR="004C0AB5" w:rsidP="000229E6" w:rsidRDefault="004C0AB5" w14:paraId="3C0AA446" w14:textId="77777777">
            <w:pPr>
              <w:spacing w:after="120"/>
              <w:rPr>
                <w:rFonts w:cs="Arial"/>
                <w:szCs w:val="24"/>
              </w:rPr>
            </w:pPr>
            <w:r w:rsidRPr="00446FA1">
              <w:rPr>
                <w:rFonts w:cs="Arial"/>
                <w:szCs w:val="24"/>
              </w:rPr>
              <w:t>Consultation forums in a view of a naturalistic world café was co</w:t>
            </w:r>
            <w:r w:rsidRPr="00446FA1">
              <w:rPr>
                <w:rFonts w:ascii="Cambria Math" w:hAnsi="Cambria Math" w:cs="Cambria Math"/>
                <w:szCs w:val="24"/>
              </w:rPr>
              <w:t>‐</w:t>
            </w:r>
            <w:r w:rsidRPr="00446FA1">
              <w:rPr>
                <w:rFonts w:cs="Arial"/>
                <w:szCs w:val="24"/>
              </w:rPr>
              <w:t>designed with a community engagement service</w:t>
            </w:r>
          </w:p>
        </w:tc>
        <w:tc>
          <w:tcPr>
            <w:tcW w:w="1559" w:type="dxa"/>
          </w:tcPr>
          <w:p w:rsidRPr="00446FA1" w:rsidR="004C0AB5" w:rsidP="000229E6" w:rsidRDefault="004C0AB5" w14:paraId="7F4CE0ED" w14:textId="77777777">
            <w:pPr>
              <w:spacing w:after="120"/>
              <w:rPr>
                <w:rFonts w:cs="Arial"/>
                <w:szCs w:val="24"/>
              </w:rPr>
            </w:pPr>
            <w:r w:rsidRPr="00446FA1">
              <w:rPr>
                <w:rFonts w:cs="Arial"/>
                <w:szCs w:val="24"/>
              </w:rPr>
              <w:t>Unclear, likely a one-off engagement</w:t>
            </w:r>
          </w:p>
        </w:tc>
        <w:tc>
          <w:tcPr>
            <w:tcW w:w="3923" w:type="dxa"/>
          </w:tcPr>
          <w:p w:rsidRPr="00446FA1" w:rsidR="004C0AB5" w:rsidP="000229E6" w:rsidRDefault="004C0AB5" w14:paraId="435DD996" w14:textId="77777777">
            <w:pPr>
              <w:spacing w:after="120"/>
              <w:rPr>
                <w:rFonts w:cs="Arial"/>
                <w:szCs w:val="24"/>
              </w:rPr>
            </w:pPr>
            <w:r w:rsidRPr="00446FA1">
              <w:rPr>
                <w:rFonts w:cs="Arial"/>
                <w:szCs w:val="24"/>
              </w:rPr>
              <w:t>Forums were found to only offer space within which opinions could be voiced</w:t>
            </w:r>
            <w:r>
              <w:rPr>
                <w:rFonts w:cs="Arial"/>
                <w:szCs w:val="24"/>
              </w:rPr>
              <w:t xml:space="preserve">, </w:t>
            </w:r>
            <w:r w:rsidRPr="00446FA1">
              <w:rPr>
                <w:rFonts w:cs="Arial"/>
                <w:szCs w:val="24"/>
              </w:rPr>
              <w:t>supported information gathering, the adoption of civic responsibilities and social activities</w:t>
            </w:r>
            <w:r>
              <w:rPr>
                <w:rFonts w:cs="Arial"/>
                <w:szCs w:val="24"/>
              </w:rPr>
              <w:t>. Unclear whether forums had any impact on health</w:t>
            </w:r>
          </w:p>
        </w:tc>
        <w:tc>
          <w:tcPr>
            <w:tcW w:w="3224" w:type="dxa"/>
          </w:tcPr>
          <w:p w:rsidRPr="00446FA1" w:rsidR="004C0AB5" w:rsidP="000229E6" w:rsidRDefault="004C0AB5" w14:paraId="02712224" w14:textId="77777777">
            <w:pPr>
              <w:spacing w:after="120"/>
              <w:rPr>
                <w:rFonts w:cs="Arial"/>
                <w:szCs w:val="24"/>
              </w:rPr>
            </w:pPr>
            <w:r w:rsidRPr="00446FA1">
              <w:rPr>
                <w:rFonts w:cs="Arial"/>
                <w:szCs w:val="24"/>
              </w:rPr>
              <w:t xml:space="preserve">Older adults in </w:t>
            </w:r>
            <w:r>
              <w:rPr>
                <w:rFonts w:cs="Arial"/>
                <w:szCs w:val="24"/>
              </w:rPr>
              <w:t xml:space="preserve">socio-economically disadvantaged </w:t>
            </w:r>
            <w:r w:rsidRPr="00446FA1">
              <w:rPr>
                <w:rFonts w:cs="Arial"/>
                <w:szCs w:val="24"/>
              </w:rPr>
              <w:t>areas (Stoke-on-Trent)</w:t>
            </w:r>
          </w:p>
        </w:tc>
      </w:tr>
      <w:tr w:rsidRPr="00446FA1" w:rsidR="004C0AB5" w:rsidTr="000229E6" w14:paraId="1B1E75CD" w14:textId="77777777">
        <w:trPr>
          <w:trHeight w:val="20"/>
        </w:trPr>
        <w:tc>
          <w:tcPr>
            <w:tcW w:w="0" w:type="auto"/>
            <w:gridSpan w:val="5"/>
          </w:tcPr>
          <w:p w:rsidRPr="00F12840" w:rsidR="004C0AB5" w:rsidP="000229E6" w:rsidRDefault="004C0AB5" w14:paraId="71350C1C" w14:textId="77777777">
            <w:pPr>
              <w:spacing w:after="120"/>
              <w:jc w:val="center"/>
              <w:rPr>
                <w:rFonts w:cs="Arial"/>
                <w:szCs w:val="24"/>
              </w:rPr>
            </w:pPr>
            <w:r w:rsidRPr="00F12840">
              <w:rPr>
                <w:rFonts w:cs="Arial"/>
                <w:szCs w:val="24"/>
              </w:rPr>
              <w:t>High relevancy and low robustness</w:t>
            </w:r>
          </w:p>
        </w:tc>
      </w:tr>
      <w:tr w:rsidRPr="00446FA1" w:rsidR="004C0AB5" w:rsidTr="000229E6" w14:paraId="0F39EB38" w14:textId="77777777">
        <w:trPr>
          <w:cnfStyle w:val="000000100000" w:firstRow="0" w:lastRow="0" w:firstColumn="0" w:lastColumn="0" w:oddVBand="0" w:evenVBand="0" w:oddHBand="1" w:evenHBand="0" w:firstRowFirstColumn="0" w:firstRowLastColumn="0" w:lastRowFirstColumn="0" w:lastRowLastColumn="0"/>
          <w:trHeight w:val="80"/>
        </w:trPr>
        <w:tc>
          <w:tcPr>
            <w:tcW w:w="3539" w:type="dxa"/>
          </w:tcPr>
          <w:p w:rsidRPr="00F12840" w:rsidR="004C0AB5" w:rsidP="000229E6" w:rsidRDefault="004C0AB5" w14:paraId="7A99F50A" w14:textId="77777777">
            <w:pPr>
              <w:spacing w:after="120"/>
              <w:rPr>
                <w:rFonts w:cs="Arial"/>
                <w:szCs w:val="24"/>
              </w:rPr>
            </w:pPr>
            <w:r w:rsidRPr="00F12840">
              <w:rPr>
                <w:rFonts w:cs="Arial"/>
                <w:b/>
                <w:bCs/>
                <w:szCs w:val="24"/>
              </w:rPr>
              <w:t>Caperon, Saville and Ahern (2022)</w:t>
            </w:r>
            <w:r w:rsidRPr="00F12840">
              <w:rPr>
                <w:rFonts w:cs="Arial"/>
                <w:b/>
                <w:bCs/>
                <w:szCs w:val="24"/>
                <w:vertAlign w:val="superscript"/>
              </w:rPr>
              <w:t>49</w:t>
            </w:r>
            <w:r w:rsidRPr="00F12840">
              <w:rPr>
                <w:rFonts w:cs="Arial"/>
                <w:b/>
                <w:bCs/>
                <w:szCs w:val="24"/>
              </w:rPr>
              <w:t>:</w:t>
            </w:r>
            <w:r w:rsidRPr="00F12840">
              <w:rPr>
                <w:rFonts w:cs="Arial"/>
                <w:szCs w:val="24"/>
              </w:rPr>
              <w:t xml:space="preserve"> to develop a socio-ecological model for community engagement in a health programme</w:t>
            </w:r>
          </w:p>
        </w:tc>
        <w:tc>
          <w:tcPr>
            <w:tcW w:w="2598" w:type="dxa"/>
          </w:tcPr>
          <w:p w:rsidRPr="00446FA1" w:rsidR="004C0AB5" w:rsidP="000229E6" w:rsidRDefault="004C0AB5" w14:paraId="7F5A69FA" w14:textId="77777777">
            <w:pPr>
              <w:spacing w:after="120"/>
              <w:rPr>
                <w:rFonts w:cs="Arial"/>
                <w:szCs w:val="24"/>
              </w:rPr>
            </w:pPr>
            <w:r w:rsidRPr="00446FA1">
              <w:rPr>
                <w:rFonts w:cs="Arial"/>
                <w:szCs w:val="24"/>
              </w:rPr>
              <w:t>Socio-ecological model reflects a highly interconnected relationship between society and ecosystems</w:t>
            </w:r>
          </w:p>
        </w:tc>
        <w:tc>
          <w:tcPr>
            <w:tcW w:w="1559" w:type="dxa"/>
          </w:tcPr>
          <w:p w:rsidRPr="00446FA1" w:rsidR="004C0AB5" w:rsidP="000229E6" w:rsidRDefault="004C0AB5" w14:paraId="4AA0AB02" w14:textId="77777777">
            <w:pPr>
              <w:spacing w:after="120"/>
              <w:rPr>
                <w:rFonts w:cs="Arial"/>
                <w:szCs w:val="24"/>
              </w:rPr>
            </w:pPr>
            <w:r>
              <w:rPr>
                <w:rFonts w:cs="Arial"/>
                <w:szCs w:val="24"/>
              </w:rPr>
              <w:t>N/A</w:t>
            </w:r>
          </w:p>
          <w:p w:rsidRPr="00446FA1" w:rsidR="004C0AB5" w:rsidP="000229E6" w:rsidRDefault="004C0AB5" w14:paraId="10CD4A11" w14:textId="77777777">
            <w:pPr>
              <w:spacing w:after="120"/>
              <w:rPr>
                <w:rFonts w:cs="Arial"/>
                <w:szCs w:val="24"/>
              </w:rPr>
            </w:pPr>
          </w:p>
          <w:p w:rsidRPr="00446FA1" w:rsidR="004C0AB5" w:rsidP="000229E6" w:rsidRDefault="004C0AB5" w14:paraId="2E9F1597" w14:textId="77777777">
            <w:pPr>
              <w:spacing w:after="120"/>
              <w:rPr>
                <w:rFonts w:cs="Arial"/>
                <w:szCs w:val="24"/>
              </w:rPr>
            </w:pPr>
          </w:p>
        </w:tc>
        <w:tc>
          <w:tcPr>
            <w:tcW w:w="3923" w:type="dxa"/>
          </w:tcPr>
          <w:p w:rsidRPr="00446FA1" w:rsidR="004C0AB5" w:rsidP="000229E6" w:rsidRDefault="004C0AB5" w14:paraId="280C0A2A" w14:textId="77777777">
            <w:pPr>
              <w:spacing w:after="120"/>
              <w:rPr>
                <w:rFonts w:cs="Arial"/>
                <w:szCs w:val="24"/>
              </w:rPr>
            </w:pPr>
            <w:r w:rsidRPr="00446FA1">
              <w:rPr>
                <w:rFonts w:cs="Arial"/>
                <w:szCs w:val="24"/>
              </w:rPr>
              <w:t xml:space="preserve">This </w:t>
            </w:r>
            <w:r>
              <w:rPr>
                <w:rFonts w:cs="Arial"/>
                <w:szCs w:val="24"/>
              </w:rPr>
              <w:t>s</w:t>
            </w:r>
            <w:r w:rsidRPr="00446FA1">
              <w:rPr>
                <w:rFonts w:cs="Arial"/>
                <w:szCs w:val="24"/>
              </w:rPr>
              <w:t xml:space="preserve">ocio-ecological </w:t>
            </w:r>
            <w:r>
              <w:rPr>
                <w:rFonts w:cs="Arial"/>
                <w:szCs w:val="24"/>
              </w:rPr>
              <w:t>m</w:t>
            </w:r>
            <w:r w:rsidRPr="00446FA1">
              <w:rPr>
                <w:rFonts w:cs="Arial"/>
                <w:szCs w:val="24"/>
              </w:rPr>
              <w:t>odel highlights the overarching</w:t>
            </w:r>
            <w:r>
              <w:rPr>
                <w:rFonts w:cs="Arial"/>
                <w:szCs w:val="24"/>
              </w:rPr>
              <w:t xml:space="preserve"> </w:t>
            </w:r>
            <w:r w:rsidRPr="00446FA1">
              <w:rPr>
                <w:rFonts w:cs="Arial"/>
                <w:szCs w:val="24"/>
              </w:rPr>
              <w:t xml:space="preserve">importance of the </w:t>
            </w:r>
            <w:r>
              <w:rPr>
                <w:rFonts w:cs="Arial"/>
                <w:szCs w:val="24"/>
              </w:rPr>
              <w:t>following factors. S</w:t>
            </w:r>
            <w:r w:rsidRPr="00D35548">
              <w:rPr>
                <w:rFonts w:cs="Arial"/>
                <w:szCs w:val="24"/>
              </w:rPr>
              <w:t>ocio-cultural environment factors: trust, social support and community</w:t>
            </w:r>
            <w:r>
              <w:rPr>
                <w:rFonts w:cs="Arial"/>
                <w:szCs w:val="24"/>
              </w:rPr>
              <w:t xml:space="preserve"> </w:t>
            </w:r>
            <w:r w:rsidRPr="00D35548">
              <w:rPr>
                <w:rFonts w:cs="Arial"/>
                <w:szCs w:val="24"/>
              </w:rPr>
              <w:t>mindedness</w:t>
            </w:r>
            <w:r>
              <w:rPr>
                <w:rFonts w:cs="Arial"/>
                <w:szCs w:val="24"/>
              </w:rPr>
              <w:t xml:space="preserve">. </w:t>
            </w:r>
          </w:p>
        </w:tc>
        <w:tc>
          <w:tcPr>
            <w:tcW w:w="3224" w:type="dxa"/>
          </w:tcPr>
          <w:p w:rsidRPr="00446FA1" w:rsidR="004C0AB5" w:rsidP="000229E6" w:rsidRDefault="004C0AB5" w14:paraId="70EEAB98" w14:textId="77777777">
            <w:pPr>
              <w:spacing w:after="120"/>
              <w:rPr>
                <w:rFonts w:cs="Arial"/>
              </w:rPr>
            </w:pPr>
            <w:r>
              <w:rPr>
                <w:rFonts w:cs="Arial"/>
              </w:rPr>
              <w:t>S</w:t>
            </w:r>
            <w:r w:rsidRPr="00A01651">
              <w:rPr>
                <w:rFonts w:cs="Arial"/>
              </w:rPr>
              <w:t>ocio-economically disadvantaged</w:t>
            </w:r>
            <w:r w:rsidRPr="61FA1185">
              <w:rPr>
                <w:rFonts w:cs="Arial"/>
              </w:rPr>
              <w:t xml:space="preserve"> </w:t>
            </w:r>
            <w:r>
              <w:rPr>
                <w:rFonts w:cs="Arial"/>
              </w:rPr>
              <w:t xml:space="preserve">population in an </w:t>
            </w:r>
            <w:r w:rsidRPr="61FA1185">
              <w:rPr>
                <w:rFonts w:cs="Arial"/>
              </w:rPr>
              <w:t>urban area (Born in Bradford)</w:t>
            </w:r>
          </w:p>
        </w:tc>
      </w:tr>
      <w:tr w:rsidRPr="00446FA1" w:rsidR="004C0AB5" w:rsidTr="000229E6" w14:paraId="38CB6380" w14:textId="77777777">
        <w:trPr>
          <w:trHeight w:val="20"/>
        </w:trPr>
        <w:tc>
          <w:tcPr>
            <w:tcW w:w="3539" w:type="dxa"/>
          </w:tcPr>
          <w:p w:rsidRPr="00A13D20" w:rsidR="004C0AB5" w:rsidP="000229E6" w:rsidRDefault="004C0AB5" w14:paraId="3C0186B4" w14:textId="77777777">
            <w:pPr>
              <w:spacing w:after="120"/>
              <w:rPr>
                <w:rFonts w:cs="Arial"/>
                <w:szCs w:val="24"/>
              </w:rPr>
            </w:pPr>
            <w:r w:rsidRPr="00471604">
              <w:rPr>
                <w:rFonts w:cs="Arial"/>
                <w:b/>
                <w:bCs/>
                <w:szCs w:val="24"/>
              </w:rPr>
              <w:t>Carlisle (2010)</w:t>
            </w:r>
            <w:r w:rsidRPr="00471604">
              <w:rPr>
                <w:rFonts w:cs="Arial"/>
                <w:b/>
                <w:bCs/>
                <w:szCs w:val="24"/>
                <w:vertAlign w:val="superscript"/>
              </w:rPr>
              <w:t>5</w:t>
            </w:r>
            <w:r>
              <w:rPr>
                <w:rFonts w:cs="Arial"/>
                <w:b/>
                <w:bCs/>
                <w:szCs w:val="24"/>
                <w:vertAlign w:val="superscript"/>
              </w:rPr>
              <w:t>0</w:t>
            </w:r>
            <w:r w:rsidRPr="00471604">
              <w:rPr>
                <w:rFonts w:cs="Arial"/>
                <w:b/>
                <w:bCs/>
                <w:szCs w:val="24"/>
              </w:rPr>
              <w:t>:</w:t>
            </w:r>
            <w:r>
              <w:rPr>
                <w:rFonts w:cs="Arial"/>
                <w:szCs w:val="24"/>
              </w:rPr>
              <w:t xml:space="preserve"> t</w:t>
            </w:r>
            <w:r w:rsidRPr="00A13D20">
              <w:rPr>
                <w:rFonts w:cs="Arial"/>
                <w:szCs w:val="24"/>
              </w:rPr>
              <w:t>o better understand the difficulties involved in implementing partnership and participation initiatives within a disadvantaged community</w:t>
            </w:r>
          </w:p>
        </w:tc>
        <w:tc>
          <w:tcPr>
            <w:tcW w:w="2598" w:type="dxa"/>
          </w:tcPr>
          <w:p w:rsidRPr="00A13D20" w:rsidR="004C0AB5" w:rsidP="000229E6" w:rsidRDefault="004C0AB5" w14:paraId="21998C8C" w14:textId="77777777">
            <w:pPr>
              <w:spacing w:after="120"/>
              <w:rPr>
                <w:rFonts w:cs="Arial"/>
                <w:szCs w:val="24"/>
              </w:rPr>
            </w:pPr>
            <w:r w:rsidRPr="00A13D20">
              <w:rPr>
                <w:rFonts w:cs="Arial"/>
                <w:szCs w:val="24"/>
              </w:rPr>
              <w:t>Social Inclusion Partnership tackling local health inequalities and social exclusion using a health promotion, partnership and community-led approach</w:t>
            </w:r>
          </w:p>
        </w:tc>
        <w:tc>
          <w:tcPr>
            <w:tcW w:w="1559" w:type="dxa"/>
          </w:tcPr>
          <w:p w:rsidRPr="00A13D20" w:rsidR="004C0AB5" w:rsidP="000229E6" w:rsidRDefault="004C0AB5" w14:paraId="1AB19294" w14:textId="77777777">
            <w:pPr>
              <w:spacing w:after="120"/>
              <w:rPr>
                <w:rFonts w:cs="Arial"/>
                <w:szCs w:val="24"/>
              </w:rPr>
            </w:pPr>
            <w:r w:rsidRPr="00A13D20">
              <w:rPr>
                <w:rFonts w:cs="Arial"/>
                <w:szCs w:val="24"/>
              </w:rPr>
              <w:t>10-year funded pilot with community projects having to negotiate further funding at the end of projects</w:t>
            </w:r>
          </w:p>
        </w:tc>
        <w:tc>
          <w:tcPr>
            <w:tcW w:w="3923" w:type="dxa"/>
          </w:tcPr>
          <w:p w:rsidRPr="00A13D20" w:rsidR="004C0AB5" w:rsidP="000229E6" w:rsidRDefault="004C0AB5" w14:paraId="295108B1" w14:textId="77777777">
            <w:pPr>
              <w:spacing w:after="120"/>
              <w:rPr>
                <w:rFonts w:cs="Arial"/>
                <w:szCs w:val="24"/>
              </w:rPr>
            </w:pPr>
            <w:r w:rsidRPr="00A13D20">
              <w:rPr>
                <w:rFonts w:cs="Arial"/>
                <w:szCs w:val="24"/>
              </w:rPr>
              <w:t xml:space="preserve">This partnership suffered from community-led initiatives competing for vital resources. </w:t>
            </w:r>
          </w:p>
          <w:p w:rsidRPr="00A13D20" w:rsidR="004C0AB5" w:rsidP="000229E6" w:rsidRDefault="004C0AB5" w14:paraId="24C7285F" w14:textId="77777777">
            <w:pPr>
              <w:spacing w:after="120"/>
              <w:rPr>
                <w:rFonts w:cs="Arial"/>
                <w:szCs w:val="24"/>
              </w:rPr>
            </w:pPr>
            <w:r w:rsidRPr="00A13D20">
              <w:rPr>
                <w:rFonts w:cs="Arial"/>
                <w:szCs w:val="24"/>
              </w:rPr>
              <w:t>Absence of community engagement at the beginning led to rivalries and contested legitimacy</w:t>
            </w:r>
          </w:p>
        </w:tc>
        <w:tc>
          <w:tcPr>
            <w:tcW w:w="3224" w:type="dxa"/>
          </w:tcPr>
          <w:p w:rsidRPr="00A13D20" w:rsidR="004C0AB5" w:rsidP="000229E6" w:rsidRDefault="004C0AB5" w14:paraId="07649597" w14:textId="77777777">
            <w:pPr>
              <w:spacing w:after="120"/>
              <w:rPr>
                <w:rFonts w:cs="Arial"/>
                <w:szCs w:val="24"/>
              </w:rPr>
            </w:pPr>
            <w:r w:rsidRPr="00A13D20">
              <w:rPr>
                <w:rFonts w:cs="Arial"/>
                <w:szCs w:val="24"/>
              </w:rPr>
              <w:t>East Kirkland, Scotland</w:t>
            </w:r>
          </w:p>
        </w:tc>
      </w:tr>
      <w:tr w:rsidRPr="00446FA1" w:rsidR="004C0AB5" w:rsidTr="000229E6" w14:paraId="56910E63" w14:textId="77777777">
        <w:trPr>
          <w:cnfStyle w:val="000000100000" w:firstRow="0" w:lastRow="0" w:firstColumn="0" w:lastColumn="0" w:oddVBand="0" w:evenVBand="0" w:oddHBand="1" w:evenHBand="0" w:firstRowFirstColumn="0" w:firstRowLastColumn="0" w:lastRowFirstColumn="0" w:lastRowLastColumn="0"/>
          <w:trHeight w:val="20"/>
        </w:trPr>
        <w:tc>
          <w:tcPr>
            <w:tcW w:w="3539" w:type="dxa"/>
          </w:tcPr>
          <w:p w:rsidRPr="00446FA1" w:rsidR="004C0AB5" w:rsidP="000229E6" w:rsidRDefault="004C0AB5" w14:paraId="6DB4EE54" w14:textId="77777777">
            <w:pPr>
              <w:spacing w:after="120"/>
              <w:rPr>
                <w:rFonts w:cs="Arial"/>
                <w:szCs w:val="24"/>
              </w:rPr>
            </w:pPr>
            <w:r w:rsidRPr="000D5D71">
              <w:rPr>
                <w:rFonts w:cs="Arial"/>
                <w:b/>
                <w:bCs/>
                <w:szCs w:val="24"/>
              </w:rPr>
              <w:t>Lamb et al. (201</w:t>
            </w:r>
            <w:r>
              <w:rPr>
                <w:rFonts w:cs="Arial"/>
                <w:b/>
                <w:bCs/>
                <w:szCs w:val="24"/>
              </w:rPr>
              <w:t>4</w:t>
            </w:r>
            <w:r w:rsidRPr="000D5D71">
              <w:rPr>
                <w:rFonts w:cs="Arial"/>
                <w:b/>
                <w:bCs/>
                <w:szCs w:val="24"/>
              </w:rPr>
              <w:t>)</w:t>
            </w:r>
            <w:r w:rsidRPr="00D072B7">
              <w:rPr>
                <w:rFonts w:cs="Arial"/>
                <w:b/>
                <w:bCs/>
                <w:szCs w:val="24"/>
                <w:vertAlign w:val="superscript"/>
              </w:rPr>
              <w:t>4</w:t>
            </w:r>
            <w:r>
              <w:rPr>
                <w:rFonts w:cs="Arial"/>
                <w:b/>
                <w:bCs/>
                <w:szCs w:val="24"/>
                <w:vertAlign w:val="superscript"/>
              </w:rPr>
              <w:t>6</w:t>
            </w:r>
            <w:r w:rsidRPr="000D5D71">
              <w:rPr>
                <w:rFonts w:cs="Arial"/>
                <w:b/>
                <w:bCs/>
                <w:szCs w:val="24"/>
              </w:rPr>
              <w:t>:</w:t>
            </w:r>
            <w:r>
              <w:rPr>
                <w:rFonts w:cs="Arial"/>
                <w:szCs w:val="24"/>
              </w:rPr>
              <w:t xml:space="preserve"> t</w:t>
            </w:r>
            <w:r w:rsidRPr="00446FA1">
              <w:rPr>
                <w:rFonts w:cs="Arial"/>
                <w:szCs w:val="24"/>
              </w:rPr>
              <w:t>o develop and evaluate a community engagement</w:t>
            </w:r>
            <w:r>
              <w:rPr>
                <w:rFonts w:cs="Arial"/>
                <w:szCs w:val="24"/>
              </w:rPr>
              <w:t xml:space="preserve"> model for the </w:t>
            </w:r>
            <w:r w:rsidRPr="00790D5C">
              <w:rPr>
                <w:rFonts w:cs="Arial"/>
                <w:szCs w:val="24"/>
              </w:rPr>
              <w:t>Improving Access to Mental Health in Primary Care</w:t>
            </w:r>
            <w:r>
              <w:rPr>
                <w:rFonts w:cs="Arial"/>
                <w:szCs w:val="24"/>
              </w:rPr>
              <w:t xml:space="preserve"> (</w:t>
            </w:r>
            <w:r w:rsidRPr="00446FA1">
              <w:rPr>
                <w:rFonts w:cs="Arial"/>
                <w:szCs w:val="24"/>
              </w:rPr>
              <w:t>AMP</w:t>
            </w:r>
            <w:r>
              <w:rPr>
                <w:rFonts w:cs="Arial"/>
                <w:szCs w:val="24"/>
              </w:rPr>
              <w:t xml:space="preserve">) </w:t>
            </w:r>
            <w:r w:rsidRPr="00446FA1">
              <w:rPr>
                <w:rFonts w:cs="Arial"/>
                <w:szCs w:val="24"/>
              </w:rPr>
              <w:t>programme</w:t>
            </w:r>
          </w:p>
          <w:p w:rsidRPr="00446FA1" w:rsidR="004C0AB5" w:rsidP="000229E6" w:rsidRDefault="004C0AB5" w14:paraId="5127FBA2" w14:textId="77777777">
            <w:pPr>
              <w:spacing w:after="120"/>
              <w:rPr>
                <w:rFonts w:cs="Arial"/>
                <w:szCs w:val="24"/>
              </w:rPr>
            </w:pPr>
          </w:p>
        </w:tc>
        <w:tc>
          <w:tcPr>
            <w:tcW w:w="2598" w:type="dxa"/>
          </w:tcPr>
          <w:p w:rsidRPr="00446FA1" w:rsidR="004C0AB5" w:rsidP="000229E6" w:rsidRDefault="004C0AB5" w14:paraId="05ED5E15" w14:textId="77777777">
            <w:pPr>
              <w:spacing w:after="120"/>
              <w:rPr>
                <w:rFonts w:cs="Arial"/>
                <w:szCs w:val="24"/>
              </w:rPr>
            </w:pPr>
            <w:r w:rsidRPr="00446FA1">
              <w:rPr>
                <w:rFonts w:cs="Arial"/>
                <w:szCs w:val="24"/>
              </w:rPr>
              <w:t>C</w:t>
            </w:r>
            <w:r>
              <w:rPr>
                <w:rFonts w:cs="Arial"/>
                <w:szCs w:val="24"/>
              </w:rPr>
              <w:t>ommunity engagement</w:t>
            </w:r>
            <w:r w:rsidRPr="00446FA1">
              <w:rPr>
                <w:rFonts w:cs="Arial"/>
                <w:szCs w:val="24"/>
              </w:rPr>
              <w:t xml:space="preserve"> model involved four components </w:t>
            </w:r>
            <w:r>
              <w:rPr>
                <w:rFonts w:cs="Arial"/>
                <w:szCs w:val="24"/>
              </w:rPr>
              <w:t xml:space="preserve">which were </w:t>
            </w:r>
            <w:r w:rsidRPr="00446FA1">
              <w:rPr>
                <w:rFonts w:cs="Arial"/>
                <w:szCs w:val="24"/>
              </w:rPr>
              <w:t>based on action research theory</w:t>
            </w:r>
          </w:p>
        </w:tc>
        <w:tc>
          <w:tcPr>
            <w:tcW w:w="1559" w:type="dxa"/>
          </w:tcPr>
          <w:p w:rsidRPr="00446FA1" w:rsidR="004C0AB5" w:rsidP="000229E6" w:rsidRDefault="004C0AB5" w14:paraId="7E3EF223" w14:textId="77777777">
            <w:pPr>
              <w:spacing w:after="120"/>
              <w:rPr>
                <w:rFonts w:cs="Arial"/>
                <w:szCs w:val="24"/>
              </w:rPr>
            </w:pPr>
            <w:r w:rsidRPr="00446FA1">
              <w:rPr>
                <w:rFonts w:cs="Arial"/>
                <w:szCs w:val="24"/>
              </w:rPr>
              <w:t xml:space="preserve">Unclear, likely a one-off intervention </w:t>
            </w:r>
          </w:p>
        </w:tc>
        <w:tc>
          <w:tcPr>
            <w:tcW w:w="3923" w:type="dxa"/>
          </w:tcPr>
          <w:p w:rsidRPr="00446FA1" w:rsidR="004C0AB5" w:rsidP="000229E6" w:rsidRDefault="004C0AB5" w14:paraId="4FDC36DA" w14:textId="77777777">
            <w:pPr>
              <w:spacing w:after="120"/>
              <w:rPr>
                <w:rFonts w:cs="Arial"/>
                <w:szCs w:val="24"/>
              </w:rPr>
            </w:pPr>
            <w:r w:rsidRPr="00446FA1">
              <w:rPr>
                <w:rFonts w:cs="Arial"/>
                <w:szCs w:val="24"/>
              </w:rPr>
              <w:t>Better collaboration between statutory and third sector</w:t>
            </w:r>
          </w:p>
          <w:p w:rsidRPr="00446FA1" w:rsidR="004C0AB5" w:rsidP="000229E6" w:rsidRDefault="004C0AB5" w14:paraId="4E313910" w14:textId="77777777">
            <w:pPr>
              <w:spacing w:after="120"/>
              <w:rPr>
                <w:rFonts w:cs="Arial"/>
                <w:szCs w:val="24"/>
              </w:rPr>
            </w:pPr>
            <w:r w:rsidRPr="00446FA1">
              <w:rPr>
                <w:rFonts w:cs="Arial"/>
                <w:szCs w:val="24"/>
              </w:rPr>
              <w:t xml:space="preserve">The </w:t>
            </w:r>
            <w:r>
              <w:rPr>
                <w:rFonts w:cs="Arial"/>
                <w:szCs w:val="24"/>
              </w:rPr>
              <w:t>community engagement</w:t>
            </w:r>
            <w:r w:rsidRPr="00446FA1">
              <w:rPr>
                <w:rFonts w:cs="Arial"/>
                <w:szCs w:val="24"/>
              </w:rPr>
              <w:t xml:space="preserve"> approach needs to give communities a sense of collective ownership of the interventions by involving them in both the design and delivery</w:t>
            </w:r>
          </w:p>
        </w:tc>
        <w:tc>
          <w:tcPr>
            <w:tcW w:w="3224" w:type="dxa"/>
          </w:tcPr>
          <w:p w:rsidRPr="00446FA1" w:rsidR="004C0AB5" w:rsidP="000229E6" w:rsidRDefault="004C0AB5" w14:paraId="5166FBEB" w14:textId="77777777">
            <w:pPr>
              <w:spacing w:after="120"/>
              <w:rPr>
                <w:rFonts w:cs="Arial"/>
                <w:szCs w:val="24"/>
              </w:rPr>
            </w:pPr>
            <w:r w:rsidRPr="00446FA1">
              <w:rPr>
                <w:rFonts w:cs="Arial"/>
                <w:szCs w:val="24"/>
              </w:rPr>
              <w:t>South Asian community in Longsight in Greater Manchester</w:t>
            </w:r>
          </w:p>
          <w:p w:rsidRPr="00446FA1" w:rsidR="004C0AB5" w:rsidP="000229E6" w:rsidRDefault="004C0AB5" w14:paraId="76DB4FCB" w14:textId="77777777">
            <w:pPr>
              <w:spacing w:after="120"/>
              <w:rPr>
                <w:rFonts w:cs="Arial"/>
                <w:szCs w:val="24"/>
              </w:rPr>
            </w:pPr>
          </w:p>
        </w:tc>
      </w:tr>
      <w:tr w:rsidRPr="00446FA1" w:rsidR="004C0AB5" w:rsidTr="000229E6" w14:paraId="0ED43BC7" w14:textId="77777777">
        <w:trPr>
          <w:trHeight w:val="20"/>
        </w:trPr>
        <w:tc>
          <w:tcPr>
            <w:tcW w:w="3539" w:type="dxa"/>
          </w:tcPr>
          <w:p w:rsidRPr="00446FA1" w:rsidR="004C0AB5" w:rsidP="000229E6" w:rsidRDefault="004C0AB5" w14:paraId="15E1DEAF" w14:textId="77777777">
            <w:pPr>
              <w:spacing w:after="120"/>
              <w:rPr>
                <w:rFonts w:cs="Arial"/>
                <w:szCs w:val="24"/>
              </w:rPr>
            </w:pPr>
            <w:r w:rsidRPr="00D072B7">
              <w:rPr>
                <w:rFonts w:cs="Arial"/>
                <w:b/>
                <w:bCs/>
                <w:szCs w:val="24"/>
              </w:rPr>
              <w:t>Mantovani, Pizzolati and Gillard (201</w:t>
            </w:r>
            <w:r>
              <w:rPr>
                <w:rFonts w:cs="Arial"/>
                <w:b/>
                <w:bCs/>
                <w:szCs w:val="24"/>
              </w:rPr>
              <w:t>5</w:t>
            </w:r>
            <w:r w:rsidRPr="00D072B7">
              <w:rPr>
                <w:rFonts w:cs="Arial"/>
                <w:b/>
                <w:bCs/>
                <w:szCs w:val="24"/>
              </w:rPr>
              <w:t>)</w:t>
            </w:r>
            <w:r w:rsidRPr="00D072B7">
              <w:rPr>
                <w:rFonts w:cs="Arial"/>
                <w:b/>
                <w:bCs/>
                <w:szCs w:val="24"/>
                <w:vertAlign w:val="superscript"/>
              </w:rPr>
              <w:t>4</w:t>
            </w:r>
            <w:r>
              <w:rPr>
                <w:rFonts w:cs="Arial"/>
                <w:b/>
                <w:bCs/>
                <w:szCs w:val="24"/>
                <w:vertAlign w:val="superscript"/>
              </w:rPr>
              <w:t>1</w:t>
            </w:r>
            <w:r w:rsidRPr="00D072B7">
              <w:rPr>
                <w:rFonts w:cs="Arial"/>
                <w:b/>
                <w:bCs/>
                <w:szCs w:val="24"/>
              </w:rPr>
              <w:t>:</w:t>
            </w:r>
            <w:r>
              <w:rPr>
                <w:rFonts w:cs="Arial"/>
                <w:szCs w:val="24"/>
              </w:rPr>
              <w:t xml:space="preserve"> t</w:t>
            </w:r>
            <w:r w:rsidRPr="00446FA1">
              <w:rPr>
                <w:rFonts w:cs="Arial"/>
                <w:szCs w:val="24"/>
              </w:rPr>
              <w:t>o evaluate a pilot outreach intervention which adopted a community engagement model to address the mental health needs of African and African Caribbean groups</w:t>
            </w:r>
          </w:p>
        </w:tc>
        <w:tc>
          <w:tcPr>
            <w:tcW w:w="2598" w:type="dxa"/>
          </w:tcPr>
          <w:p w:rsidRPr="00446FA1" w:rsidR="004C0AB5" w:rsidP="000229E6" w:rsidRDefault="004C0AB5" w14:paraId="15289693" w14:textId="77777777">
            <w:pPr>
              <w:spacing w:after="120"/>
              <w:rPr>
                <w:rFonts w:cs="Arial"/>
                <w:szCs w:val="24"/>
              </w:rPr>
            </w:pPr>
            <w:r w:rsidRPr="00446FA1">
              <w:rPr>
                <w:rFonts w:cs="Arial"/>
                <w:szCs w:val="24"/>
              </w:rPr>
              <w:t xml:space="preserve">Recruited </w:t>
            </w:r>
            <w:r>
              <w:rPr>
                <w:rFonts w:cs="Arial"/>
                <w:szCs w:val="24"/>
              </w:rPr>
              <w:t>C</w:t>
            </w:r>
            <w:r w:rsidRPr="00446FA1">
              <w:rPr>
                <w:rFonts w:cs="Arial"/>
                <w:szCs w:val="24"/>
              </w:rPr>
              <w:t xml:space="preserve">ommunity and </w:t>
            </w:r>
            <w:r>
              <w:rPr>
                <w:rFonts w:cs="Arial"/>
                <w:szCs w:val="24"/>
              </w:rPr>
              <w:t>W</w:t>
            </w:r>
            <w:r w:rsidRPr="00446FA1">
              <w:rPr>
                <w:rFonts w:cs="Arial"/>
                <w:szCs w:val="24"/>
              </w:rPr>
              <w:t>ell-</w:t>
            </w:r>
            <w:r>
              <w:rPr>
                <w:rFonts w:cs="Arial"/>
                <w:szCs w:val="24"/>
              </w:rPr>
              <w:t>B</w:t>
            </w:r>
            <w:r w:rsidRPr="00446FA1">
              <w:rPr>
                <w:rFonts w:cs="Arial"/>
                <w:szCs w:val="24"/>
              </w:rPr>
              <w:t xml:space="preserve">eing </w:t>
            </w:r>
            <w:r>
              <w:rPr>
                <w:rFonts w:cs="Arial"/>
                <w:szCs w:val="24"/>
              </w:rPr>
              <w:t>C</w:t>
            </w:r>
            <w:r w:rsidRPr="00446FA1">
              <w:rPr>
                <w:rFonts w:cs="Arial"/>
                <w:szCs w:val="24"/>
              </w:rPr>
              <w:t>hampions (CWBCs) from African and African Caribbean communities</w:t>
            </w:r>
          </w:p>
        </w:tc>
        <w:tc>
          <w:tcPr>
            <w:tcW w:w="1559" w:type="dxa"/>
          </w:tcPr>
          <w:p w:rsidRPr="00446FA1" w:rsidR="004C0AB5" w:rsidP="000229E6" w:rsidRDefault="004C0AB5" w14:paraId="51254551" w14:textId="77777777">
            <w:pPr>
              <w:spacing w:after="120"/>
              <w:rPr>
                <w:rFonts w:cs="Arial"/>
                <w:szCs w:val="24"/>
              </w:rPr>
            </w:pPr>
            <w:r w:rsidRPr="00446FA1">
              <w:rPr>
                <w:rFonts w:cs="Arial"/>
                <w:szCs w:val="24"/>
              </w:rPr>
              <w:t>One</w:t>
            </w:r>
            <w:r>
              <w:rPr>
                <w:rFonts w:cs="Arial"/>
                <w:szCs w:val="24"/>
              </w:rPr>
              <w:t>-</w:t>
            </w:r>
            <w:r w:rsidRPr="00446FA1">
              <w:rPr>
                <w:rFonts w:cs="Arial"/>
                <w:szCs w:val="24"/>
              </w:rPr>
              <w:t>off</w:t>
            </w:r>
          </w:p>
        </w:tc>
        <w:tc>
          <w:tcPr>
            <w:tcW w:w="3923" w:type="dxa"/>
          </w:tcPr>
          <w:p w:rsidR="004C0AB5" w:rsidP="000229E6" w:rsidRDefault="004C0AB5" w14:paraId="1DE10BF2" w14:textId="77777777">
            <w:pPr>
              <w:spacing w:after="120"/>
              <w:rPr>
                <w:rFonts w:cs="Arial"/>
                <w:szCs w:val="24"/>
              </w:rPr>
            </w:pPr>
            <w:r w:rsidRPr="00446FA1">
              <w:rPr>
                <w:rFonts w:cs="Arial"/>
                <w:szCs w:val="24"/>
              </w:rPr>
              <w:t>CWBCs encountered resistance on the part of the people they engaged with, which resulted from a lack of knowledge about mental health, taboos and ascribed stigma</w:t>
            </w:r>
            <w:r>
              <w:rPr>
                <w:rFonts w:cs="Arial"/>
                <w:szCs w:val="24"/>
              </w:rPr>
              <w:t>. Better training for</w:t>
            </w:r>
            <w:r w:rsidRPr="00446FA1">
              <w:rPr>
                <w:rFonts w:cs="Arial"/>
                <w:szCs w:val="24"/>
              </w:rPr>
              <w:t xml:space="preserve"> CWBCs</w:t>
            </w:r>
            <w:r>
              <w:rPr>
                <w:rFonts w:cs="Arial"/>
                <w:szCs w:val="24"/>
              </w:rPr>
              <w:t xml:space="preserve"> is required to overcome these challenges </w:t>
            </w:r>
          </w:p>
          <w:p w:rsidR="004C0AB5" w:rsidP="000229E6" w:rsidRDefault="004C0AB5" w14:paraId="5D93FC62" w14:textId="77777777">
            <w:pPr>
              <w:spacing w:after="120"/>
              <w:rPr>
                <w:rFonts w:cs="Arial"/>
                <w:szCs w:val="24"/>
              </w:rPr>
            </w:pPr>
          </w:p>
          <w:p w:rsidRPr="00446FA1" w:rsidR="004C0AB5" w:rsidP="000229E6" w:rsidRDefault="004C0AB5" w14:paraId="114621A8" w14:textId="77777777">
            <w:pPr>
              <w:spacing w:after="120"/>
              <w:rPr>
                <w:rFonts w:cs="Arial"/>
                <w:szCs w:val="24"/>
              </w:rPr>
            </w:pPr>
          </w:p>
        </w:tc>
        <w:tc>
          <w:tcPr>
            <w:tcW w:w="3224" w:type="dxa"/>
          </w:tcPr>
          <w:p w:rsidRPr="00446FA1" w:rsidR="004C0AB5" w:rsidP="000229E6" w:rsidRDefault="004C0AB5" w14:paraId="4A85ECA4" w14:textId="77777777">
            <w:pPr>
              <w:spacing w:after="120"/>
              <w:rPr>
                <w:rFonts w:cs="Arial"/>
                <w:szCs w:val="24"/>
              </w:rPr>
            </w:pPr>
            <w:r w:rsidRPr="00446FA1">
              <w:rPr>
                <w:rFonts w:cs="Arial"/>
                <w:szCs w:val="24"/>
              </w:rPr>
              <w:t>African and African Caribbean groups in South London</w:t>
            </w:r>
          </w:p>
        </w:tc>
      </w:tr>
      <w:tr w:rsidRPr="00446FA1" w:rsidR="004C0AB5" w:rsidTr="000229E6" w14:paraId="2435681A" w14:textId="77777777">
        <w:trPr>
          <w:cnfStyle w:val="000000100000" w:firstRow="0" w:lastRow="0" w:firstColumn="0" w:lastColumn="0" w:oddVBand="0" w:evenVBand="0" w:oddHBand="1" w:evenHBand="0" w:firstRowFirstColumn="0" w:firstRowLastColumn="0" w:lastRowFirstColumn="0" w:lastRowLastColumn="0"/>
          <w:trHeight w:val="20"/>
        </w:trPr>
        <w:tc>
          <w:tcPr>
            <w:tcW w:w="0" w:type="auto"/>
            <w:gridSpan w:val="5"/>
          </w:tcPr>
          <w:p w:rsidRPr="00446FA1" w:rsidR="004C0AB5" w:rsidP="000229E6" w:rsidRDefault="004C0AB5" w14:paraId="7F05FFDB" w14:textId="77777777">
            <w:pPr>
              <w:spacing w:after="120"/>
              <w:jc w:val="center"/>
              <w:rPr>
                <w:rFonts w:cs="Arial"/>
                <w:szCs w:val="24"/>
              </w:rPr>
            </w:pPr>
            <w:r w:rsidRPr="00446FA1">
              <w:rPr>
                <w:rFonts w:cs="Arial"/>
                <w:szCs w:val="24"/>
              </w:rPr>
              <w:t>Moderate relevancy and moderate robustness</w:t>
            </w:r>
          </w:p>
        </w:tc>
      </w:tr>
      <w:tr w:rsidRPr="00446FA1" w:rsidR="004C0AB5" w:rsidTr="000229E6" w14:paraId="01528B01" w14:textId="77777777">
        <w:trPr>
          <w:trHeight w:val="20"/>
        </w:trPr>
        <w:tc>
          <w:tcPr>
            <w:tcW w:w="3539" w:type="dxa"/>
          </w:tcPr>
          <w:p w:rsidRPr="00446FA1" w:rsidR="004C0AB5" w:rsidP="000229E6" w:rsidRDefault="004C0AB5" w14:paraId="2FE76485" w14:textId="77777777">
            <w:pPr>
              <w:spacing w:after="120"/>
              <w:rPr>
                <w:rFonts w:cs="Arial"/>
                <w:szCs w:val="24"/>
              </w:rPr>
            </w:pPr>
            <w:r w:rsidRPr="00336C6C">
              <w:rPr>
                <w:rFonts w:cs="Arial"/>
                <w:b/>
                <w:bCs/>
                <w:szCs w:val="24"/>
              </w:rPr>
              <w:t>Stansfield, South and Mapplethorpe (2020)</w:t>
            </w:r>
            <w:r w:rsidRPr="00336C6C">
              <w:rPr>
                <w:rFonts w:cs="Arial"/>
                <w:b/>
                <w:bCs/>
                <w:szCs w:val="24"/>
                <w:vertAlign w:val="superscript"/>
              </w:rPr>
              <w:t>5</w:t>
            </w:r>
            <w:r>
              <w:rPr>
                <w:rFonts w:cs="Arial"/>
                <w:b/>
                <w:bCs/>
                <w:szCs w:val="24"/>
                <w:vertAlign w:val="superscript"/>
              </w:rPr>
              <w:t>1</w:t>
            </w:r>
            <w:r w:rsidRPr="00336C6C">
              <w:rPr>
                <w:rFonts w:cs="Arial"/>
                <w:b/>
                <w:bCs/>
                <w:szCs w:val="24"/>
              </w:rPr>
              <w:t>:</w:t>
            </w:r>
            <w:r>
              <w:rPr>
                <w:rFonts w:cs="Arial"/>
                <w:szCs w:val="24"/>
              </w:rPr>
              <w:t xml:space="preserve"> t</w:t>
            </w:r>
            <w:r w:rsidRPr="00446FA1">
              <w:rPr>
                <w:rFonts w:cs="Arial"/>
                <w:szCs w:val="24"/>
              </w:rPr>
              <w:t>o identify key elements of whole system approaches to building healthy communities and putting communities at the heart of public health with a focus on public health practice to reduce health inequalities</w:t>
            </w:r>
          </w:p>
        </w:tc>
        <w:tc>
          <w:tcPr>
            <w:tcW w:w="2598" w:type="dxa"/>
          </w:tcPr>
          <w:p w:rsidRPr="00446FA1" w:rsidR="004C0AB5" w:rsidP="000229E6" w:rsidRDefault="004C0AB5" w14:paraId="5B080932" w14:textId="77777777">
            <w:pPr>
              <w:autoSpaceDE w:val="0"/>
              <w:autoSpaceDN w:val="0"/>
              <w:adjustRightInd w:val="0"/>
              <w:spacing w:after="120" w:line="240" w:lineRule="auto"/>
              <w:rPr>
                <w:rFonts w:cs="Arial"/>
                <w:szCs w:val="24"/>
              </w:rPr>
            </w:pPr>
            <w:r w:rsidRPr="00446FA1">
              <w:rPr>
                <w:rFonts w:cs="Arial"/>
                <w:szCs w:val="24"/>
              </w:rPr>
              <w:t>Community centred approach uses participatory methods where community members are actively</w:t>
            </w:r>
            <w:r>
              <w:rPr>
                <w:rFonts w:cs="Arial"/>
                <w:szCs w:val="24"/>
              </w:rPr>
              <w:t xml:space="preserve"> </w:t>
            </w:r>
            <w:r w:rsidRPr="00446FA1">
              <w:rPr>
                <w:rFonts w:cs="Arial"/>
                <w:szCs w:val="24"/>
              </w:rPr>
              <w:t>involved in design, delivery and evaluation; uses and builds on local community assets in developing and delivering</w:t>
            </w:r>
            <w:r>
              <w:rPr>
                <w:rFonts w:cs="Arial"/>
                <w:szCs w:val="24"/>
              </w:rPr>
              <w:t xml:space="preserve"> </w:t>
            </w:r>
            <w:r w:rsidRPr="00446FA1">
              <w:rPr>
                <w:rFonts w:cs="Arial"/>
                <w:szCs w:val="24"/>
              </w:rPr>
              <w:t>the project; develop collaborations and partnerships with individuals and groups</w:t>
            </w:r>
            <w:r>
              <w:rPr>
                <w:rFonts w:cs="Arial"/>
                <w:szCs w:val="24"/>
              </w:rPr>
              <w:t xml:space="preserve"> </w:t>
            </w:r>
            <w:r w:rsidRPr="00446FA1">
              <w:rPr>
                <w:rFonts w:cs="Arial"/>
                <w:szCs w:val="24"/>
              </w:rPr>
              <w:t>at most risk of poor health</w:t>
            </w:r>
          </w:p>
        </w:tc>
        <w:tc>
          <w:tcPr>
            <w:tcW w:w="1559" w:type="dxa"/>
          </w:tcPr>
          <w:p w:rsidRPr="00446FA1" w:rsidR="004C0AB5" w:rsidP="000229E6" w:rsidRDefault="004C0AB5" w14:paraId="5E55BCEC" w14:textId="77777777">
            <w:pPr>
              <w:spacing w:after="120"/>
              <w:rPr>
                <w:rFonts w:cs="Arial"/>
                <w:szCs w:val="24"/>
              </w:rPr>
            </w:pPr>
            <w:r w:rsidRPr="00446FA1">
              <w:rPr>
                <w:rFonts w:cs="Arial"/>
                <w:szCs w:val="24"/>
              </w:rPr>
              <w:t>N/A</w:t>
            </w:r>
          </w:p>
        </w:tc>
        <w:tc>
          <w:tcPr>
            <w:tcW w:w="3923" w:type="dxa"/>
          </w:tcPr>
          <w:p w:rsidRPr="00446FA1" w:rsidR="004C0AB5" w:rsidP="000229E6" w:rsidRDefault="004C0AB5" w14:paraId="1A3D89F2" w14:textId="77777777">
            <w:pPr>
              <w:spacing w:after="120"/>
              <w:rPr>
                <w:rFonts w:cs="Arial"/>
                <w:szCs w:val="24"/>
              </w:rPr>
            </w:pPr>
            <w:r w:rsidRPr="00446FA1">
              <w:rPr>
                <w:rFonts w:cs="Arial"/>
                <w:szCs w:val="24"/>
              </w:rPr>
              <w:t>N/A</w:t>
            </w:r>
          </w:p>
        </w:tc>
        <w:tc>
          <w:tcPr>
            <w:tcW w:w="3224" w:type="dxa"/>
          </w:tcPr>
          <w:p w:rsidRPr="00446FA1" w:rsidR="004C0AB5" w:rsidP="000229E6" w:rsidRDefault="004C0AB5" w14:paraId="45E1C515" w14:textId="77777777">
            <w:pPr>
              <w:spacing w:after="120"/>
              <w:rPr>
                <w:rFonts w:cs="Arial"/>
                <w:szCs w:val="24"/>
              </w:rPr>
            </w:pPr>
            <w:r w:rsidRPr="00446FA1">
              <w:rPr>
                <w:rFonts w:cs="Arial"/>
                <w:szCs w:val="24"/>
              </w:rPr>
              <w:t>N/A</w:t>
            </w:r>
          </w:p>
        </w:tc>
      </w:tr>
      <w:tr w:rsidRPr="00446FA1" w:rsidR="004C0AB5" w:rsidTr="000229E6" w14:paraId="01355557" w14:textId="77777777">
        <w:trPr>
          <w:cnfStyle w:val="000000100000" w:firstRow="0" w:lastRow="0" w:firstColumn="0" w:lastColumn="0" w:oddVBand="0" w:evenVBand="0" w:oddHBand="1" w:evenHBand="0" w:firstRowFirstColumn="0" w:firstRowLastColumn="0" w:lastRowFirstColumn="0" w:lastRowLastColumn="0"/>
          <w:trHeight w:val="20"/>
        </w:trPr>
        <w:tc>
          <w:tcPr>
            <w:tcW w:w="3539" w:type="dxa"/>
          </w:tcPr>
          <w:p w:rsidRPr="00A13D20" w:rsidR="004C0AB5" w:rsidP="000229E6" w:rsidRDefault="004C0AB5" w14:paraId="56AB46B5" w14:textId="77777777">
            <w:pPr>
              <w:spacing w:after="120"/>
              <w:rPr>
                <w:rFonts w:cs="Arial"/>
                <w:szCs w:val="24"/>
              </w:rPr>
            </w:pPr>
            <w:r w:rsidRPr="008C0CDC">
              <w:rPr>
                <w:rFonts w:cs="Arial"/>
                <w:b/>
                <w:bCs/>
                <w:szCs w:val="24"/>
              </w:rPr>
              <w:t>Dickerson et al. (2019)</w:t>
            </w:r>
            <w:r w:rsidRPr="008C0CDC">
              <w:rPr>
                <w:rFonts w:cs="Arial"/>
                <w:b/>
                <w:bCs/>
                <w:szCs w:val="24"/>
                <w:vertAlign w:val="superscript"/>
              </w:rPr>
              <w:t>5</w:t>
            </w:r>
            <w:r>
              <w:rPr>
                <w:rFonts w:cs="Arial"/>
                <w:b/>
                <w:bCs/>
                <w:szCs w:val="24"/>
                <w:vertAlign w:val="superscript"/>
              </w:rPr>
              <w:t>2</w:t>
            </w:r>
            <w:r>
              <w:rPr>
                <w:rFonts w:cs="Arial"/>
                <w:szCs w:val="24"/>
              </w:rPr>
              <w:t>: t</w:t>
            </w:r>
            <w:r w:rsidRPr="00A13D20">
              <w:rPr>
                <w:rFonts w:cs="Arial"/>
                <w:szCs w:val="24"/>
              </w:rPr>
              <w:t>his guide provides strategies on how to overcome challenges of integrating research and practice when it comes to complex community interventions</w:t>
            </w:r>
          </w:p>
        </w:tc>
        <w:tc>
          <w:tcPr>
            <w:tcW w:w="2598" w:type="dxa"/>
          </w:tcPr>
          <w:p w:rsidRPr="00A13D20" w:rsidR="004C0AB5" w:rsidP="000229E6" w:rsidRDefault="004C0AB5" w14:paraId="03C46114" w14:textId="77777777">
            <w:pPr>
              <w:spacing w:after="120"/>
              <w:rPr>
                <w:rFonts w:cs="Arial"/>
                <w:szCs w:val="24"/>
              </w:rPr>
            </w:pPr>
            <w:r w:rsidRPr="00A13D20">
              <w:rPr>
                <w:rFonts w:cs="Arial"/>
                <w:szCs w:val="24"/>
              </w:rPr>
              <w:t>Successful community and stakeholder engagement requires their involvement from the beginning, and at all stages of intervention design, delivery, evaluation and dissemination.</w:t>
            </w:r>
          </w:p>
          <w:p w:rsidRPr="00A13D20" w:rsidR="004C0AB5" w:rsidP="000229E6" w:rsidRDefault="004C0AB5" w14:paraId="1FCCFA9C" w14:textId="77777777">
            <w:pPr>
              <w:spacing w:after="120"/>
              <w:rPr>
                <w:rFonts w:cs="Arial"/>
                <w:szCs w:val="24"/>
              </w:rPr>
            </w:pPr>
            <w:r w:rsidRPr="00A13D20">
              <w:rPr>
                <w:rFonts w:cs="Arial"/>
                <w:szCs w:val="24"/>
              </w:rPr>
              <w:t>Establishing a Community Advisory Group made up of local people will facilitate this integrated involvement</w:t>
            </w:r>
          </w:p>
          <w:p w:rsidRPr="00A13D20" w:rsidR="004C0AB5" w:rsidP="000229E6" w:rsidRDefault="004C0AB5" w14:paraId="15B6EAF2" w14:textId="77777777">
            <w:pPr>
              <w:spacing w:after="120"/>
              <w:rPr>
                <w:rFonts w:cs="Arial"/>
                <w:szCs w:val="24"/>
              </w:rPr>
            </w:pPr>
            <w:r w:rsidRPr="00A13D20">
              <w:rPr>
                <w:rFonts w:cs="Arial"/>
                <w:szCs w:val="24"/>
              </w:rPr>
              <w:t>The starting point is a careful mapping out of all key stakeholders followed by regular and effective communication</w:t>
            </w:r>
          </w:p>
        </w:tc>
        <w:tc>
          <w:tcPr>
            <w:tcW w:w="1559" w:type="dxa"/>
          </w:tcPr>
          <w:p w:rsidRPr="00A13D20" w:rsidR="004C0AB5" w:rsidP="000229E6" w:rsidRDefault="004C0AB5" w14:paraId="25600934" w14:textId="77777777">
            <w:pPr>
              <w:spacing w:after="120"/>
              <w:rPr>
                <w:rFonts w:cs="Arial"/>
                <w:szCs w:val="24"/>
              </w:rPr>
            </w:pPr>
            <w:r w:rsidRPr="00A13D20">
              <w:rPr>
                <w:rFonts w:cs="Arial"/>
                <w:szCs w:val="24"/>
              </w:rPr>
              <w:t>N/A</w:t>
            </w:r>
          </w:p>
        </w:tc>
        <w:tc>
          <w:tcPr>
            <w:tcW w:w="3923" w:type="dxa"/>
          </w:tcPr>
          <w:p w:rsidRPr="00A13D20" w:rsidR="004C0AB5" w:rsidP="000229E6" w:rsidRDefault="004C0AB5" w14:paraId="704DC7B6" w14:textId="77777777">
            <w:pPr>
              <w:spacing w:after="120"/>
              <w:rPr>
                <w:rFonts w:cs="Arial"/>
                <w:szCs w:val="24"/>
              </w:rPr>
            </w:pPr>
            <w:r w:rsidRPr="00A13D20">
              <w:rPr>
                <w:rFonts w:cs="Arial"/>
                <w:szCs w:val="24"/>
              </w:rPr>
              <w:t>N/A</w:t>
            </w:r>
          </w:p>
        </w:tc>
        <w:tc>
          <w:tcPr>
            <w:tcW w:w="3224" w:type="dxa"/>
          </w:tcPr>
          <w:p w:rsidRPr="00A13D20" w:rsidR="004C0AB5" w:rsidP="000229E6" w:rsidRDefault="004C0AB5" w14:paraId="72F37751" w14:textId="77777777">
            <w:pPr>
              <w:spacing w:after="120"/>
              <w:rPr>
                <w:rFonts w:cs="Arial"/>
                <w:szCs w:val="24"/>
              </w:rPr>
            </w:pPr>
            <w:r w:rsidRPr="00A13D20">
              <w:rPr>
                <w:rFonts w:cs="Arial"/>
                <w:szCs w:val="24"/>
              </w:rPr>
              <w:t>Born in Bradford, Better Start</w:t>
            </w:r>
          </w:p>
        </w:tc>
      </w:tr>
      <w:tr w:rsidRPr="00446FA1" w:rsidR="004C0AB5" w:rsidTr="000229E6" w14:paraId="049F4BB8" w14:textId="77777777">
        <w:trPr>
          <w:trHeight w:val="20"/>
        </w:trPr>
        <w:tc>
          <w:tcPr>
            <w:tcW w:w="0" w:type="auto"/>
            <w:gridSpan w:val="5"/>
          </w:tcPr>
          <w:p w:rsidRPr="00446FA1" w:rsidR="004C0AB5" w:rsidP="000229E6" w:rsidRDefault="004C0AB5" w14:paraId="7617A845" w14:textId="77777777">
            <w:pPr>
              <w:spacing w:after="120"/>
              <w:jc w:val="center"/>
              <w:rPr>
                <w:rFonts w:cs="Arial"/>
                <w:szCs w:val="24"/>
              </w:rPr>
            </w:pPr>
            <w:r w:rsidRPr="00446FA1">
              <w:rPr>
                <w:rFonts w:cs="Arial"/>
                <w:szCs w:val="24"/>
              </w:rPr>
              <w:t>Moderate relevancy and grey literature</w:t>
            </w:r>
          </w:p>
        </w:tc>
      </w:tr>
      <w:tr w:rsidRPr="00446FA1" w:rsidR="004C0AB5" w:rsidTr="000229E6" w14:paraId="2F995DAB" w14:textId="77777777">
        <w:trPr>
          <w:cnfStyle w:val="000000100000" w:firstRow="0" w:lastRow="0" w:firstColumn="0" w:lastColumn="0" w:oddVBand="0" w:evenVBand="0" w:oddHBand="1" w:evenHBand="0" w:firstRowFirstColumn="0" w:firstRowLastColumn="0" w:lastRowFirstColumn="0" w:lastRowLastColumn="0"/>
          <w:trHeight w:val="20"/>
        </w:trPr>
        <w:tc>
          <w:tcPr>
            <w:tcW w:w="3539" w:type="dxa"/>
          </w:tcPr>
          <w:p w:rsidRPr="008D01ED" w:rsidR="004C0AB5" w:rsidP="000229E6" w:rsidRDefault="004C0AB5" w14:paraId="6E287907" w14:textId="77777777">
            <w:pPr>
              <w:spacing w:after="120"/>
              <w:rPr>
                <w:rFonts w:cs="Arial"/>
                <w:szCs w:val="24"/>
              </w:rPr>
            </w:pPr>
            <w:r w:rsidRPr="00756F00">
              <w:rPr>
                <w:rFonts w:cs="Arial"/>
                <w:b/>
                <w:bCs/>
                <w:szCs w:val="24"/>
              </w:rPr>
              <w:t>The King’s Fund (2021)</w:t>
            </w:r>
            <w:r w:rsidRPr="00756F00">
              <w:rPr>
                <w:rFonts w:cs="Arial"/>
                <w:b/>
                <w:bCs/>
                <w:szCs w:val="24"/>
                <w:vertAlign w:val="superscript"/>
              </w:rPr>
              <w:t>5</w:t>
            </w:r>
            <w:r>
              <w:rPr>
                <w:rFonts w:cs="Arial"/>
                <w:b/>
                <w:bCs/>
                <w:szCs w:val="24"/>
                <w:vertAlign w:val="superscript"/>
              </w:rPr>
              <w:t>3</w:t>
            </w:r>
            <w:r w:rsidRPr="00756F00">
              <w:rPr>
                <w:rFonts w:cs="Arial"/>
                <w:b/>
                <w:bCs/>
                <w:szCs w:val="24"/>
              </w:rPr>
              <w:t>:</w:t>
            </w:r>
            <w:r>
              <w:rPr>
                <w:rFonts w:cs="Arial"/>
                <w:szCs w:val="24"/>
              </w:rPr>
              <w:t xml:space="preserve"> t</w:t>
            </w:r>
            <w:r w:rsidRPr="008D01ED">
              <w:rPr>
                <w:rFonts w:cs="Arial"/>
                <w:szCs w:val="24"/>
              </w:rPr>
              <w:t>o make recommendations aimed at genuine engagement with the diverse communities that the NHS exists to serve</w:t>
            </w:r>
          </w:p>
        </w:tc>
        <w:tc>
          <w:tcPr>
            <w:tcW w:w="2598" w:type="dxa"/>
          </w:tcPr>
          <w:p w:rsidRPr="008D01ED" w:rsidR="004C0AB5" w:rsidP="000229E6" w:rsidRDefault="004C0AB5" w14:paraId="21B801AC" w14:textId="77777777">
            <w:pPr>
              <w:autoSpaceDE w:val="0"/>
              <w:autoSpaceDN w:val="0"/>
              <w:adjustRightInd w:val="0"/>
              <w:spacing w:after="120" w:line="240" w:lineRule="auto"/>
              <w:rPr>
                <w:rFonts w:cs="Arial"/>
                <w:b/>
                <w:bCs/>
                <w:szCs w:val="24"/>
              </w:rPr>
            </w:pPr>
            <w:r w:rsidRPr="008D01ED">
              <w:rPr>
                <w:rFonts w:cs="Arial"/>
                <w:szCs w:val="24"/>
              </w:rPr>
              <w:t>These range from surveys and consultations to co-production and long-term partnership working Asset-based engagement approaches</w:t>
            </w:r>
          </w:p>
        </w:tc>
        <w:tc>
          <w:tcPr>
            <w:tcW w:w="1559" w:type="dxa"/>
          </w:tcPr>
          <w:p w:rsidRPr="008D01ED" w:rsidR="004C0AB5" w:rsidP="000229E6" w:rsidRDefault="004C0AB5" w14:paraId="2B24EE57" w14:textId="77777777">
            <w:pPr>
              <w:spacing w:after="120"/>
              <w:rPr>
                <w:rFonts w:cs="Arial"/>
                <w:szCs w:val="24"/>
              </w:rPr>
            </w:pPr>
            <w:r w:rsidRPr="008D01ED">
              <w:rPr>
                <w:rFonts w:cs="Arial"/>
                <w:szCs w:val="24"/>
              </w:rPr>
              <w:t>N/A</w:t>
            </w:r>
          </w:p>
        </w:tc>
        <w:tc>
          <w:tcPr>
            <w:tcW w:w="3923" w:type="dxa"/>
          </w:tcPr>
          <w:p w:rsidRPr="008D01ED" w:rsidR="004C0AB5" w:rsidP="000229E6" w:rsidRDefault="004C0AB5" w14:paraId="42D844B1" w14:textId="77777777">
            <w:pPr>
              <w:spacing w:after="120"/>
              <w:rPr>
                <w:rFonts w:cs="Arial"/>
                <w:szCs w:val="24"/>
              </w:rPr>
            </w:pPr>
            <w:r w:rsidRPr="008D01ED">
              <w:rPr>
                <w:rFonts w:cs="Arial"/>
                <w:szCs w:val="24"/>
              </w:rPr>
              <w:t>N/A</w:t>
            </w:r>
          </w:p>
        </w:tc>
        <w:tc>
          <w:tcPr>
            <w:tcW w:w="3224" w:type="dxa"/>
          </w:tcPr>
          <w:p w:rsidRPr="008D01ED" w:rsidR="004C0AB5" w:rsidP="000229E6" w:rsidRDefault="004C0AB5" w14:paraId="7DCFFFE8" w14:textId="77777777">
            <w:pPr>
              <w:spacing w:after="120"/>
              <w:rPr>
                <w:rFonts w:cs="Arial"/>
                <w:szCs w:val="24"/>
              </w:rPr>
            </w:pPr>
            <w:r w:rsidRPr="008D01ED">
              <w:rPr>
                <w:rFonts w:cs="Arial"/>
                <w:szCs w:val="24"/>
              </w:rPr>
              <w:t>Black and ethnic minorities</w:t>
            </w:r>
          </w:p>
        </w:tc>
      </w:tr>
      <w:tr w:rsidRPr="0054363A" w:rsidR="004C0AB5" w:rsidTr="000229E6" w14:paraId="0DB08F20" w14:textId="77777777">
        <w:trPr>
          <w:trHeight w:val="20"/>
        </w:trPr>
        <w:tc>
          <w:tcPr>
            <w:tcW w:w="3539" w:type="dxa"/>
          </w:tcPr>
          <w:p w:rsidRPr="0054363A" w:rsidR="004C0AB5" w:rsidP="000229E6" w:rsidRDefault="004C0AB5" w14:paraId="29AB42A9" w14:textId="77777777">
            <w:pPr>
              <w:spacing w:after="120"/>
              <w:rPr>
                <w:rFonts w:cs="Arial"/>
                <w:szCs w:val="24"/>
              </w:rPr>
            </w:pPr>
            <w:r w:rsidRPr="0054363A">
              <w:rPr>
                <w:rFonts w:cs="Arial"/>
                <w:b/>
                <w:bCs/>
                <w:szCs w:val="24"/>
              </w:rPr>
              <w:t xml:space="preserve">The Health Foundation, NHS England and the </w:t>
            </w:r>
            <w:r w:rsidRPr="0054363A">
              <w:rPr>
                <w:b/>
                <w:bCs/>
              </w:rPr>
              <w:t>Yorkshire and Humber Academic Health Science Network</w:t>
            </w:r>
            <w:r w:rsidRPr="0054363A">
              <w:rPr>
                <w:rFonts w:cs="Arial"/>
                <w:b/>
                <w:bCs/>
                <w:szCs w:val="24"/>
              </w:rPr>
              <w:t xml:space="preserve"> (2022)</w:t>
            </w:r>
            <w:r w:rsidRPr="0054363A">
              <w:rPr>
                <w:rFonts w:cs="Arial"/>
                <w:b/>
                <w:bCs/>
                <w:szCs w:val="24"/>
                <w:vertAlign w:val="superscript"/>
              </w:rPr>
              <w:t>54</w:t>
            </w:r>
            <w:r w:rsidRPr="0054363A">
              <w:rPr>
                <w:rFonts w:cs="Arial"/>
                <w:b/>
                <w:bCs/>
                <w:szCs w:val="24"/>
              </w:rPr>
              <w:t>:</w:t>
            </w:r>
            <w:r w:rsidRPr="0054363A">
              <w:rPr>
                <w:rFonts w:cs="Arial"/>
                <w:b/>
                <w:bCs/>
                <w:szCs w:val="24"/>
                <w:vertAlign w:val="superscript"/>
              </w:rPr>
              <w:t xml:space="preserve"> </w:t>
            </w:r>
            <w:r w:rsidRPr="0054363A">
              <w:rPr>
                <w:rFonts w:cs="Arial"/>
                <w:szCs w:val="24"/>
              </w:rPr>
              <w:t>to provide actionable insights on how to tackle inequalities; focusing on how communities should be engaged</w:t>
            </w:r>
          </w:p>
        </w:tc>
        <w:tc>
          <w:tcPr>
            <w:tcW w:w="2598" w:type="dxa"/>
          </w:tcPr>
          <w:p w:rsidRPr="0054363A" w:rsidR="004C0AB5" w:rsidP="000229E6" w:rsidRDefault="004C0AB5" w14:paraId="2A29298F" w14:textId="77777777">
            <w:pPr>
              <w:spacing w:after="120"/>
              <w:rPr>
                <w:rFonts w:cs="Arial"/>
                <w:szCs w:val="24"/>
              </w:rPr>
            </w:pPr>
            <w:r w:rsidRPr="0054363A">
              <w:rPr>
                <w:rFonts w:cs="Arial"/>
                <w:szCs w:val="24"/>
              </w:rPr>
              <w:t>(1) Test the data with lived experience: it can give a better understanding between what the data shows and reasons behind it, (2) Co-design solutions with the communities the services are intended to benefit and (3) Establish community engagement models</w:t>
            </w:r>
          </w:p>
        </w:tc>
        <w:tc>
          <w:tcPr>
            <w:tcW w:w="1559" w:type="dxa"/>
          </w:tcPr>
          <w:p w:rsidRPr="0054363A" w:rsidR="004C0AB5" w:rsidP="000229E6" w:rsidRDefault="004C0AB5" w14:paraId="082C1677" w14:textId="77777777">
            <w:pPr>
              <w:spacing w:after="120"/>
              <w:rPr>
                <w:rFonts w:cs="Arial"/>
                <w:szCs w:val="24"/>
              </w:rPr>
            </w:pPr>
            <w:r w:rsidRPr="0054363A">
              <w:rPr>
                <w:rFonts w:cs="Arial"/>
                <w:szCs w:val="24"/>
              </w:rPr>
              <w:t>N/A</w:t>
            </w:r>
          </w:p>
        </w:tc>
        <w:tc>
          <w:tcPr>
            <w:tcW w:w="3923" w:type="dxa"/>
          </w:tcPr>
          <w:p w:rsidRPr="0054363A" w:rsidR="004C0AB5" w:rsidP="000229E6" w:rsidRDefault="004C0AB5" w14:paraId="1E667999" w14:textId="77777777">
            <w:pPr>
              <w:spacing w:after="120"/>
              <w:rPr>
                <w:rFonts w:cs="Arial"/>
                <w:szCs w:val="24"/>
              </w:rPr>
            </w:pPr>
            <w:r w:rsidRPr="0054363A">
              <w:rPr>
                <w:rFonts w:cs="Arial"/>
                <w:szCs w:val="24"/>
              </w:rPr>
              <w:t>N/A</w:t>
            </w:r>
          </w:p>
        </w:tc>
        <w:tc>
          <w:tcPr>
            <w:tcW w:w="3224" w:type="dxa"/>
          </w:tcPr>
          <w:p w:rsidRPr="0054363A" w:rsidR="004C0AB5" w:rsidP="000229E6" w:rsidRDefault="004C0AB5" w14:paraId="5C53960E" w14:textId="77777777">
            <w:pPr>
              <w:spacing w:after="120"/>
              <w:rPr>
                <w:rFonts w:cs="Arial"/>
                <w:szCs w:val="24"/>
              </w:rPr>
            </w:pPr>
            <w:r w:rsidRPr="0054363A">
              <w:rPr>
                <w:rFonts w:cs="Arial"/>
                <w:szCs w:val="24"/>
              </w:rPr>
              <w:t>N/A</w:t>
            </w:r>
          </w:p>
        </w:tc>
      </w:tr>
    </w:tbl>
    <w:p w:rsidRPr="004C0AB5" w:rsidR="004C0AB5" w:rsidP="00EC0502" w:rsidRDefault="004C0AB5" w14:paraId="46A5065B" w14:textId="77777777"/>
    <w:p w:rsidR="004841C7" w:rsidP="00706961" w:rsidRDefault="00E06413" w14:paraId="2F2B837F" w14:textId="12C42091">
      <w:pPr>
        <w:pStyle w:val="Head12C2R"/>
        <w:framePr w:w="0" w:wrap="auto" w:yAlign="inline"/>
        <w:spacing w:after="240"/>
      </w:pPr>
      <w:bookmarkStart w:name="_Toc146539777" w:id="180"/>
      <w:r>
        <w:t>Annex</w:t>
      </w:r>
      <w:r w:rsidR="008550C0">
        <w:t xml:space="preserve"> </w:t>
      </w:r>
      <w:bookmarkEnd w:id="170"/>
      <w:bookmarkEnd w:id="171"/>
      <w:bookmarkEnd w:id="172"/>
      <w:r w:rsidR="006C28CC">
        <w:t>F</w:t>
      </w:r>
      <w:r w:rsidR="009A3396">
        <w:t xml:space="preserve"> – </w:t>
      </w:r>
      <w:r w:rsidR="004841C7">
        <w:t>Full list of literature included within the review</w:t>
      </w:r>
      <w:bookmarkEnd w:id="180"/>
    </w:p>
    <w:p w:rsidRPr="00EE0E4C" w:rsidR="004841C7" w:rsidP="00AF10D4" w:rsidRDefault="004841C7" w14:paraId="5F1AB86D" w14:textId="77777777">
      <w:pPr>
        <w:pStyle w:val="EndnoteText"/>
        <w:numPr>
          <w:ilvl w:val="0"/>
          <w:numId w:val="23"/>
        </w:numPr>
        <w:spacing w:after="120"/>
        <w:ind w:left="454" w:hanging="454"/>
        <w:rPr>
          <w:sz w:val="24"/>
          <w:szCs w:val="24"/>
        </w:rPr>
      </w:pPr>
      <w:r w:rsidRPr="00EE0E4C">
        <w:rPr>
          <w:sz w:val="24"/>
          <w:szCs w:val="24"/>
        </w:rPr>
        <w:t>Beaney, T., Clarke, J.M., Grundy, E. and Coronini-Cronberg, S. (2022). A picture of health: determining the core population served by an urban NHS hospital trust and understanding the key health needs. BMC Public Health, 22(1). doi:https://doi.org/10.1186/s12889-021-12373-5.</w:t>
      </w:r>
    </w:p>
    <w:p w:rsidRPr="00EE0E4C" w:rsidR="004841C7" w:rsidP="00AF10D4" w:rsidRDefault="004841C7" w14:paraId="1F220DA8" w14:textId="77777777">
      <w:pPr>
        <w:pStyle w:val="EndnoteText"/>
        <w:numPr>
          <w:ilvl w:val="0"/>
          <w:numId w:val="23"/>
        </w:numPr>
        <w:spacing w:after="120"/>
        <w:ind w:left="454" w:hanging="454"/>
        <w:rPr>
          <w:sz w:val="24"/>
          <w:szCs w:val="24"/>
        </w:rPr>
      </w:pPr>
      <w:r w:rsidRPr="00EE0E4C">
        <w:rPr>
          <w:sz w:val="24"/>
          <w:szCs w:val="24"/>
        </w:rPr>
        <w:t>Nnoaham, K.E. and Cann, K.F. (2020). Can cluster analyses of linked healthcare data identify unique population segments in a general practice-registered population? BMC Public Health, 20(1). doi:https://doi.org/10.1186/s12889-020-08930-z.</w:t>
      </w:r>
    </w:p>
    <w:p w:rsidRPr="00EE0E4C" w:rsidR="004841C7" w:rsidP="00AF10D4" w:rsidRDefault="004841C7" w14:paraId="7872BA9F" w14:textId="77777777">
      <w:pPr>
        <w:pStyle w:val="EndnoteText"/>
        <w:numPr>
          <w:ilvl w:val="0"/>
          <w:numId w:val="23"/>
        </w:numPr>
        <w:spacing w:after="120"/>
        <w:ind w:left="454" w:hanging="454"/>
        <w:rPr>
          <w:sz w:val="24"/>
          <w:szCs w:val="24"/>
        </w:rPr>
      </w:pPr>
      <w:r w:rsidRPr="00EE0E4C">
        <w:rPr>
          <w:sz w:val="24"/>
          <w:szCs w:val="24"/>
        </w:rPr>
        <w:t>Saunders, P., Campbell, P., Webster, M. and Thawe, M. (2019). Analysis of Small Area Environmental, Socioeconomic and Health Data in Collaboration with Local Communities to Target and Evaluate ‘Triple Win’ Interventions in a Deprived Community in Birmingham UK. International Journal of Environmental Research and Public Health, 16(22), p.4331. doi:https://doi.org/10.3390/ijerph16224331.</w:t>
      </w:r>
    </w:p>
    <w:p w:rsidRPr="00EE0E4C" w:rsidR="004841C7" w:rsidP="00AF10D4" w:rsidRDefault="004841C7" w14:paraId="646E68BC" w14:textId="69D1E48C">
      <w:pPr>
        <w:pStyle w:val="EndnoteText"/>
        <w:numPr>
          <w:ilvl w:val="0"/>
          <w:numId w:val="23"/>
        </w:numPr>
        <w:spacing w:after="120"/>
        <w:ind w:left="454" w:hanging="454"/>
        <w:rPr>
          <w:sz w:val="24"/>
          <w:szCs w:val="24"/>
        </w:rPr>
      </w:pPr>
      <w:r w:rsidRPr="00EE0E4C">
        <w:rPr>
          <w:sz w:val="24"/>
          <w:szCs w:val="24"/>
        </w:rPr>
        <w:t>Jessiman, P.E., Powell, K., Williams, P., Fairbrother, H., Crowder, M., Williams, J.G. and Kipping, R. (2021). A systems map of the determinants of child health inequalities in England at the local level. PLOS ONE, 16(2), p.e0245577. doi:https://doi.org/10.1371/journal.pone.0245577.</w:t>
      </w:r>
    </w:p>
    <w:p w:rsidRPr="00EE0E4C" w:rsidR="004841C7" w:rsidP="00AF10D4" w:rsidRDefault="004841C7" w14:paraId="1B433775" w14:textId="77777777">
      <w:pPr>
        <w:pStyle w:val="EndnoteText"/>
        <w:numPr>
          <w:ilvl w:val="0"/>
          <w:numId w:val="24"/>
        </w:numPr>
        <w:spacing w:after="120"/>
        <w:ind w:left="454" w:hanging="454"/>
        <w:rPr>
          <w:sz w:val="24"/>
          <w:szCs w:val="24"/>
        </w:rPr>
      </w:pPr>
      <w:r w:rsidRPr="00EE0E4C">
        <w:rPr>
          <w:sz w:val="24"/>
          <w:szCs w:val="24"/>
        </w:rPr>
        <w:t>The Strategy Unit. (2022). Visualising Socio- Economic Inequalities in CHD Progression and Pathways. [online] Available at: https://www.strategyunitwm.nhs.uk/sites/default/files/2022-12/BHF_Visualising%20Socio-Economic%20Inequalities%20in%20CHD%20Progression%20and%20Pathways_July2022-EditForPublication.pdf [Accessed 7 Jul. 2023].</w:t>
      </w:r>
    </w:p>
    <w:p w:rsidRPr="00EE0E4C" w:rsidR="004841C7" w:rsidP="00AF10D4" w:rsidRDefault="004841C7" w14:paraId="7CB34F07" w14:textId="77777777">
      <w:pPr>
        <w:pStyle w:val="EndnoteText"/>
        <w:numPr>
          <w:ilvl w:val="0"/>
          <w:numId w:val="24"/>
        </w:numPr>
        <w:spacing w:after="120"/>
        <w:ind w:left="454" w:hanging="454"/>
        <w:rPr>
          <w:sz w:val="24"/>
          <w:szCs w:val="24"/>
        </w:rPr>
      </w:pPr>
      <w:r w:rsidRPr="00EE0E4C">
        <w:rPr>
          <w:sz w:val="24"/>
          <w:szCs w:val="24"/>
        </w:rPr>
        <w:t>The Health Foundation. (2022). How does residential mobility shape the health of local areas? [online] Available at: https://www.health.org.uk/publications/long-reads/how-does-residential-mobility-shape-the-health-of-local-areas [Accessed 7 Jul. 2023].</w:t>
      </w:r>
    </w:p>
    <w:p w:rsidRPr="00EE0E4C" w:rsidR="004841C7" w:rsidP="00AF10D4" w:rsidRDefault="004841C7" w14:paraId="05EBC359" w14:textId="77777777">
      <w:pPr>
        <w:pStyle w:val="EndnoteText"/>
        <w:numPr>
          <w:ilvl w:val="0"/>
          <w:numId w:val="24"/>
        </w:numPr>
        <w:spacing w:after="120"/>
        <w:ind w:left="454" w:hanging="454"/>
        <w:rPr>
          <w:sz w:val="24"/>
          <w:szCs w:val="24"/>
        </w:rPr>
      </w:pPr>
      <w:r w:rsidRPr="00EE0E4C">
        <w:rPr>
          <w:sz w:val="24"/>
          <w:szCs w:val="24"/>
        </w:rPr>
        <w:t>Sharpe, R.A., Wyatt, K.M. and Williams, A.J. (2022). Do the Determinants of Mental Wellbeing Vary by Housing Tenure Status? Secondary Analysis of a 2017 Cross-Sectional Residents Survey in Cornwall, South West England. International Journal of Environmental Research and Public Health, 19(7), p.3816. doi:https://doi.org/10.3390/ijerph19073816.</w:t>
      </w:r>
    </w:p>
    <w:p w:rsidRPr="00EE0E4C" w:rsidR="004841C7" w:rsidP="00AF10D4" w:rsidRDefault="004841C7" w14:paraId="40B1CDED" w14:textId="77777777">
      <w:pPr>
        <w:pStyle w:val="EndnoteText"/>
        <w:numPr>
          <w:ilvl w:val="0"/>
          <w:numId w:val="24"/>
        </w:numPr>
        <w:spacing w:after="120"/>
        <w:ind w:left="454" w:hanging="454"/>
        <w:rPr>
          <w:sz w:val="24"/>
          <w:szCs w:val="24"/>
        </w:rPr>
      </w:pPr>
      <w:r w:rsidRPr="00EE0E4C">
        <w:rPr>
          <w:sz w:val="24"/>
          <w:szCs w:val="24"/>
        </w:rPr>
        <w:t>The Institute of Health Equity (2022). Fuel Poverty, Cold Homes and Health Inequalities in the UK. [online] Available at: https://www.instituteofhealthequity.org/resources-reports/fuel-poverty-cold-homes-and-health-inequalities-in-the-uk/read-the-report.pdf [Accessed 7 Jul. 2023].</w:t>
      </w:r>
    </w:p>
    <w:p w:rsidRPr="00EE0E4C" w:rsidR="004841C7" w:rsidP="00AF10D4" w:rsidRDefault="004841C7" w14:paraId="0035D777" w14:textId="77777777">
      <w:pPr>
        <w:pStyle w:val="EndnoteText"/>
        <w:numPr>
          <w:ilvl w:val="0"/>
          <w:numId w:val="24"/>
        </w:numPr>
        <w:spacing w:after="120"/>
        <w:ind w:left="454" w:hanging="454"/>
        <w:rPr>
          <w:sz w:val="24"/>
          <w:szCs w:val="24"/>
        </w:rPr>
      </w:pPr>
      <w:r w:rsidRPr="00EE0E4C">
        <w:rPr>
          <w:sz w:val="24"/>
          <w:szCs w:val="24"/>
        </w:rPr>
        <w:t>Born in Bradford (2019). Available at: https://borninbradford.nhs.uk/wp-content/uploads/BIB_Supplement_Magazine_2019_Web.pdf [Accessed 7 Jul. 2023].</w:t>
      </w:r>
    </w:p>
    <w:p w:rsidRPr="00EE0E4C" w:rsidR="004841C7" w:rsidP="00AF10D4" w:rsidRDefault="004841C7" w14:paraId="2C97A5F5" w14:textId="77777777">
      <w:pPr>
        <w:pStyle w:val="EndnoteText"/>
        <w:numPr>
          <w:ilvl w:val="0"/>
          <w:numId w:val="24"/>
        </w:numPr>
        <w:spacing w:after="120"/>
        <w:ind w:left="454" w:hanging="454"/>
        <w:rPr>
          <w:sz w:val="24"/>
          <w:szCs w:val="24"/>
        </w:rPr>
      </w:pPr>
      <w:r w:rsidRPr="00EE0E4C">
        <w:rPr>
          <w:sz w:val="24"/>
          <w:szCs w:val="24"/>
        </w:rPr>
        <w:t>Mughal, R., Thomson, L.J.M., Daykin, N. and Chatterjee, H.J. (2022). Rapid Evidence Review of Community Engagement and Resources in the UK during the COVID-19 Pandemic: How Can Community Assets Redress Health Inequities? International Journal of Environmental Research and Public Health, 19(7), p.4086. doi:https://doi.org/10.3390/ijerph19074086.</w:t>
      </w:r>
    </w:p>
    <w:p w:rsidRPr="00EE0E4C" w:rsidR="004841C7" w:rsidP="00AF10D4" w:rsidRDefault="004841C7" w14:paraId="50C6648C" w14:textId="77777777">
      <w:pPr>
        <w:pStyle w:val="EndnoteText"/>
        <w:numPr>
          <w:ilvl w:val="0"/>
          <w:numId w:val="24"/>
        </w:numPr>
        <w:spacing w:after="120"/>
        <w:ind w:left="454" w:hanging="454"/>
        <w:rPr>
          <w:sz w:val="24"/>
          <w:szCs w:val="24"/>
        </w:rPr>
      </w:pPr>
      <w:r w:rsidRPr="00EE0E4C">
        <w:rPr>
          <w:sz w:val="24"/>
          <w:szCs w:val="24"/>
        </w:rPr>
        <w:t>Robertson, S., Woodall, J., Henry, H., Hanna, E., Rowlands, S., Horrocks, J., Livesley, J. and Long, T. (2016). Evaluating a community-led project for improving fathers’ and children’s wellbeing in England. Health Promotion International, p.daw090. doi:https://doi.org/10.1093/heapro/daw090.</w:t>
      </w:r>
    </w:p>
    <w:p w:rsidRPr="00EE0E4C" w:rsidR="004841C7" w:rsidP="00AF10D4" w:rsidRDefault="004841C7" w14:paraId="660C2E17" w14:textId="77777777">
      <w:pPr>
        <w:pStyle w:val="EndnoteText"/>
        <w:numPr>
          <w:ilvl w:val="0"/>
          <w:numId w:val="24"/>
        </w:numPr>
        <w:spacing w:after="120"/>
        <w:ind w:left="454" w:hanging="454"/>
        <w:rPr>
          <w:sz w:val="24"/>
          <w:szCs w:val="24"/>
        </w:rPr>
      </w:pPr>
      <w:r w:rsidRPr="00EE0E4C">
        <w:rPr>
          <w:sz w:val="24"/>
          <w:szCs w:val="24"/>
        </w:rPr>
        <w:t>The King’s Fund (2018). Tackling multiple unhealthy risk factors Emerging lessons from practice. [online] Available at: https://www.kingsfund.org.uk/sites/default/files/2018-03/Tackling%20multiple%20unhealthy%20risk%20factors%20-%20full%20report.pdf [Accessed 7 Jul. 2023].</w:t>
      </w:r>
    </w:p>
    <w:p w:rsidRPr="00EE0E4C" w:rsidR="004841C7" w:rsidP="00AF10D4" w:rsidRDefault="004841C7" w14:paraId="7C512362" w14:textId="77777777">
      <w:pPr>
        <w:pStyle w:val="EndnoteText"/>
        <w:numPr>
          <w:ilvl w:val="0"/>
          <w:numId w:val="24"/>
        </w:numPr>
        <w:spacing w:after="120"/>
        <w:ind w:left="454" w:hanging="454"/>
        <w:rPr>
          <w:sz w:val="24"/>
          <w:szCs w:val="24"/>
        </w:rPr>
      </w:pPr>
      <w:r w:rsidRPr="00EE0E4C">
        <w:rPr>
          <w:sz w:val="24"/>
          <w:szCs w:val="24"/>
        </w:rPr>
        <w:t>Steer, M. and Machin, A.I. (2018). A qualitative exploration of stakeholder perceptions of the implementation of place-based working and its potential to reduce health inequality. Journal of Public Health. doi:https://doi.org/10.1093/pubmed/fdy001.</w:t>
      </w:r>
    </w:p>
    <w:p w:rsidRPr="00EE0E4C" w:rsidR="004841C7" w:rsidP="00AF10D4" w:rsidRDefault="004841C7" w14:paraId="4FC7708B" w14:textId="77777777">
      <w:pPr>
        <w:pStyle w:val="EndnoteText"/>
        <w:numPr>
          <w:ilvl w:val="0"/>
          <w:numId w:val="24"/>
        </w:numPr>
        <w:spacing w:after="120"/>
        <w:ind w:left="454" w:hanging="454"/>
        <w:rPr>
          <w:sz w:val="24"/>
          <w:szCs w:val="24"/>
        </w:rPr>
      </w:pPr>
      <w:r w:rsidRPr="00EE0E4C">
        <w:rPr>
          <w:sz w:val="24"/>
          <w:szCs w:val="24"/>
        </w:rPr>
        <w:t>The Institute of Health Inequality. (2020). Health Equity in England: The Marmot Review 10 Years On. [online] Available at: https://www.instituteofhealthequity.org/resources-reports/marmot-review-10-years-on/the-marmot-review-10-years-on-full-report.pdf [Accessed 7 Jul. 2023].</w:t>
      </w:r>
    </w:p>
    <w:p w:rsidRPr="00EE0E4C" w:rsidR="004841C7" w:rsidP="00AF10D4" w:rsidRDefault="004841C7" w14:paraId="31356DC6" w14:textId="77777777">
      <w:pPr>
        <w:pStyle w:val="EndnoteText"/>
        <w:numPr>
          <w:ilvl w:val="0"/>
          <w:numId w:val="24"/>
        </w:numPr>
        <w:spacing w:after="120"/>
        <w:ind w:left="454" w:hanging="454"/>
        <w:rPr>
          <w:sz w:val="24"/>
          <w:szCs w:val="24"/>
        </w:rPr>
      </w:pPr>
      <w:r w:rsidRPr="00EE0E4C">
        <w:rPr>
          <w:sz w:val="24"/>
          <w:szCs w:val="24"/>
        </w:rPr>
        <w:t>Local Government Association. (2017). Public health transformation four years on: maximising the use of limited resources. [online] Available at: https://www.local.gov.uk/sites/default/files/documents/Public%20health%20transformation%20four%20years%20on.pdf [Accessed 7 Jul. 2023].</w:t>
      </w:r>
    </w:p>
    <w:p w:rsidRPr="00EE0E4C" w:rsidR="004841C7" w:rsidP="00AF10D4" w:rsidRDefault="004841C7" w14:paraId="69C10045" w14:textId="77777777">
      <w:pPr>
        <w:pStyle w:val="EndnoteText"/>
        <w:numPr>
          <w:ilvl w:val="0"/>
          <w:numId w:val="24"/>
        </w:numPr>
        <w:spacing w:after="120"/>
        <w:ind w:left="454" w:hanging="454"/>
        <w:rPr>
          <w:sz w:val="24"/>
          <w:szCs w:val="24"/>
        </w:rPr>
      </w:pPr>
      <w:r w:rsidRPr="00EE0E4C">
        <w:rPr>
          <w:sz w:val="24"/>
          <w:szCs w:val="24"/>
        </w:rPr>
        <w:t>Local Government Association. (2017). The impact of homelessness on health: a guide for local authorities. Available at: https://www.local.gov.uk/sites/default/files/documents/22.7%20HEALTH%20AND%20HOMELESSNESS_v08_WEB_0.PDF [Accessed 7 Jul. 2023].</w:t>
      </w:r>
    </w:p>
    <w:p w:rsidRPr="00EE0E4C" w:rsidR="004841C7" w:rsidP="00AF10D4" w:rsidRDefault="004841C7" w14:paraId="2C3451E0" w14:textId="77777777">
      <w:pPr>
        <w:pStyle w:val="EndnoteText"/>
        <w:numPr>
          <w:ilvl w:val="0"/>
          <w:numId w:val="24"/>
        </w:numPr>
        <w:spacing w:after="120"/>
        <w:ind w:left="454" w:hanging="454"/>
        <w:rPr>
          <w:sz w:val="24"/>
          <w:szCs w:val="24"/>
        </w:rPr>
      </w:pPr>
      <w:r w:rsidRPr="00EE0E4C">
        <w:rPr>
          <w:sz w:val="24"/>
          <w:szCs w:val="24"/>
        </w:rPr>
        <w:t>Moffatt, S., Steer, M., Lawson, S., Penn, L. and O’Brien, N. (2017). Link Worker social prescribing to improve health and well-being for people with long-term conditions: qualitative study of service user perceptions. BMJ Open, [online] 7(7). doi:https://doi.org/10.1136/bmjopen-2016-015203.</w:t>
      </w:r>
    </w:p>
    <w:p w:rsidRPr="00EE0E4C" w:rsidR="004841C7" w:rsidP="00AF10D4" w:rsidRDefault="004841C7" w14:paraId="6E35CD0C" w14:textId="77777777">
      <w:pPr>
        <w:pStyle w:val="EndnoteText"/>
        <w:numPr>
          <w:ilvl w:val="0"/>
          <w:numId w:val="24"/>
        </w:numPr>
        <w:spacing w:after="120"/>
        <w:ind w:left="454" w:hanging="454"/>
        <w:rPr>
          <w:sz w:val="24"/>
          <w:szCs w:val="24"/>
        </w:rPr>
      </w:pPr>
      <w:r w:rsidRPr="00EE0E4C">
        <w:rPr>
          <w:sz w:val="24"/>
          <w:szCs w:val="24"/>
        </w:rPr>
        <w:t>Lawlor, E.R., Cupples, M.E., Donnelly, M. and Tully, M.A. (2019). Implementing community-based health promotion in socio-economically disadvantaged areas: a qualitative study. Journal of Public Health. doi:https://doi.org/10.1093/pubmed/fdz167.</w:t>
      </w:r>
    </w:p>
    <w:p w:rsidRPr="00EE0E4C" w:rsidR="004841C7" w:rsidP="00AF10D4" w:rsidRDefault="004841C7" w14:paraId="21083AED" w14:textId="77777777">
      <w:pPr>
        <w:pStyle w:val="EndnoteText"/>
        <w:numPr>
          <w:ilvl w:val="0"/>
          <w:numId w:val="24"/>
        </w:numPr>
        <w:spacing w:after="120"/>
        <w:ind w:left="454" w:hanging="454"/>
        <w:rPr>
          <w:sz w:val="24"/>
          <w:szCs w:val="24"/>
        </w:rPr>
      </w:pPr>
      <w:r w:rsidRPr="00EE0E4C">
        <w:rPr>
          <w:sz w:val="24"/>
          <w:szCs w:val="24"/>
        </w:rPr>
        <w:t>Caló, F., Steiner, A., Millar, S. and Teasdale, S. (2019). The impact of a community</w:t>
      </w:r>
      <w:r w:rsidRPr="00EE0E4C">
        <w:rPr>
          <w:rFonts w:ascii="Cambria Math" w:hAnsi="Cambria Math" w:cs="Cambria Math"/>
          <w:sz w:val="24"/>
          <w:szCs w:val="24"/>
        </w:rPr>
        <w:t>‐</w:t>
      </w:r>
      <w:r w:rsidRPr="00EE0E4C">
        <w:rPr>
          <w:sz w:val="24"/>
          <w:szCs w:val="24"/>
        </w:rPr>
        <w:t>based music intervention on the health and well</w:t>
      </w:r>
      <w:r w:rsidRPr="00EE0E4C">
        <w:rPr>
          <w:rFonts w:ascii="Cambria Math" w:hAnsi="Cambria Math" w:cs="Cambria Math"/>
          <w:sz w:val="24"/>
          <w:szCs w:val="24"/>
        </w:rPr>
        <w:t>‐</w:t>
      </w:r>
      <w:r w:rsidRPr="00EE0E4C">
        <w:rPr>
          <w:sz w:val="24"/>
          <w:szCs w:val="24"/>
        </w:rPr>
        <w:t>being of young people: A realist evaluation.</w:t>
      </w:r>
      <w:r w:rsidRPr="00EE0E4C">
        <w:rPr>
          <w:rFonts w:cs="Arial"/>
          <w:sz w:val="24"/>
          <w:szCs w:val="24"/>
        </w:rPr>
        <w:t> </w:t>
      </w:r>
      <w:r w:rsidRPr="00EE0E4C">
        <w:rPr>
          <w:sz w:val="24"/>
          <w:szCs w:val="24"/>
        </w:rPr>
        <w:t>Health &amp; Social Care in the Community. doi:https://doi.org/10.1111/hsc.12931.</w:t>
      </w:r>
    </w:p>
    <w:p w:rsidRPr="00EE0E4C" w:rsidR="004841C7" w:rsidP="00AF10D4" w:rsidRDefault="004841C7" w14:paraId="53C9496C" w14:textId="77777777">
      <w:pPr>
        <w:pStyle w:val="EndnoteText"/>
        <w:numPr>
          <w:ilvl w:val="0"/>
          <w:numId w:val="24"/>
        </w:numPr>
        <w:spacing w:after="120"/>
        <w:ind w:left="454" w:hanging="454"/>
        <w:rPr>
          <w:sz w:val="24"/>
          <w:szCs w:val="24"/>
        </w:rPr>
      </w:pPr>
      <w:r w:rsidRPr="00EE0E4C">
        <w:rPr>
          <w:sz w:val="24"/>
          <w:szCs w:val="24"/>
        </w:rPr>
        <w:t>Bond, L., Egan, M., Kearns, A. and Tannahill, C. (2013). GoWell: The challenges of evaluating regeneration as a population health intervention. Preventive Medicine, 57(6), pp.941–947. doi:https://doi.org/10.1016/j.ypmed.2013.08.007.</w:t>
      </w:r>
    </w:p>
    <w:p w:rsidRPr="00EE0E4C" w:rsidR="004841C7" w:rsidP="00AF10D4" w:rsidRDefault="004841C7" w14:paraId="6C129E55" w14:textId="77777777">
      <w:pPr>
        <w:pStyle w:val="EndnoteText"/>
        <w:numPr>
          <w:ilvl w:val="0"/>
          <w:numId w:val="24"/>
        </w:numPr>
        <w:spacing w:after="120"/>
        <w:ind w:left="454" w:hanging="454"/>
        <w:rPr>
          <w:sz w:val="24"/>
          <w:szCs w:val="24"/>
        </w:rPr>
      </w:pPr>
      <w:r w:rsidRPr="00EE0E4C">
        <w:rPr>
          <w:sz w:val="24"/>
          <w:szCs w:val="24"/>
        </w:rPr>
        <w:t>Fagg, J., Chadwick, P., Cole, T.J., Cummins, S., Goldstein, H., Lewis, H., Morris, S., Radley, D., Sacher, P. and Law, C. (2014). From trial to population: a study of a family-based community intervention for childhood overweight implemented at scale. International Journal of Obesity (2005), [online] 38(10), pp.1343–1349. doi:https://doi.org/10.1038/ijo.2014.103.</w:t>
      </w:r>
    </w:p>
    <w:p w:rsidRPr="00EE0E4C" w:rsidR="004841C7" w:rsidP="00AF10D4" w:rsidRDefault="004841C7" w14:paraId="21510483" w14:textId="77777777">
      <w:pPr>
        <w:pStyle w:val="EndnoteText"/>
        <w:numPr>
          <w:ilvl w:val="0"/>
          <w:numId w:val="24"/>
        </w:numPr>
        <w:spacing w:after="120"/>
        <w:ind w:left="454" w:hanging="454"/>
        <w:rPr>
          <w:sz w:val="24"/>
          <w:szCs w:val="24"/>
        </w:rPr>
      </w:pPr>
      <w:r w:rsidRPr="00EE0E4C">
        <w:rPr>
          <w:sz w:val="24"/>
          <w:szCs w:val="24"/>
        </w:rPr>
        <w:t>The King’s Fund (2019). A citizen-led approach to health and care: lessons from the Wigan Deal. [online] Available at: https://www.kingsfund.org.uk/sites/default/files/2019-07/A%20citizen-led%20report%20final%20%2819.6.19%29.pdf [Accessed 7 Jul. 2023].</w:t>
      </w:r>
    </w:p>
    <w:p w:rsidRPr="00EE0E4C" w:rsidR="004841C7" w:rsidP="00AF10D4" w:rsidRDefault="004841C7" w14:paraId="3C26E324" w14:textId="77777777">
      <w:pPr>
        <w:pStyle w:val="EndnoteText"/>
        <w:numPr>
          <w:ilvl w:val="0"/>
          <w:numId w:val="24"/>
        </w:numPr>
        <w:spacing w:after="120"/>
        <w:ind w:left="454" w:hanging="454"/>
        <w:rPr>
          <w:sz w:val="24"/>
          <w:szCs w:val="24"/>
        </w:rPr>
      </w:pPr>
      <w:r w:rsidRPr="00EE0E4C">
        <w:rPr>
          <w:sz w:val="24"/>
          <w:szCs w:val="24"/>
        </w:rPr>
        <w:t>Hayes, C.B., Patterson, J., Castello, S., Burke, E., O’Connell, N., Darker, C.D., Bauld, L., Vance, J., Ciblis, A., Dobbie, F., Loudon, K., Devane, D. and Dougall, N. (2021). Peer-Delivery of a Gender-Specific Smoking Cessation Intervention for Women Living in Disadvantaged Communities in Ireland We Can Quit2 (WCQ2)—A Pilot Cluster Randomized Controlled Trial. Nicotine &amp; Tobacco Research, [online] 24(4), pp.564–573. doi:https://doi.org/10.1093/ntr/ntab242.</w:t>
      </w:r>
    </w:p>
    <w:p w:rsidRPr="00EE0E4C" w:rsidR="004841C7" w:rsidP="00AF10D4" w:rsidRDefault="004841C7" w14:paraId="3AE4B5D8" w14:textId="77777777">
      <w:pPr>
        <w:pStyle w:val="EndnoteText"/>
        <w:numPr>
          <w:ilvl w:val="0"/>
          <w:numId w:val="24"/>
        </w:numPr>
        <w:spacing w:after="120"/>
        <w:ind w:left="454" w:hanging="454"/>
        <w:rPr>
          <w:sz w:val="24"/>
          <w:szCs w:val="24"/>
        </w:rPr>
      </w:pPr>
      <w:r w:rsidRPr="00EE0E4C">
        <w:rPr>
          <w:sz w:val="24"/>
          <w:szCs w:val="24"/>
        </w:rPr>
        <w:t>Inch, J., Notman, F., Watson, M., Green, D., Baird, R., Ferguson, J., Hind, C., McKinstry, B., Strath, A. and Bond, C. (2017). Tele-pharmacy in rural Scotland: a proof of concept study. International Journal of Pharmacy Practice, 25(3), pp.210–219. doi:https://doi.org/10.1111/ijpp.12376.</w:t>
      </w:r>
    </w:p>
    <w:p w:rsidRPr="00EE0E4C" w:rsidR="004841C7" w:rsidP="00AF10D4" w:rsidRDefault="004841C7" w14:paraId="7320EA2B" w14:textId="77777777">
      <w:pPr>
        <w:pStyle w:val="EndnoteText"/>
        <w:numPr>
          <w:ilvl w:val="0"/>
          <w:numId w:val="24"/>
        </w:numPr>
        <w:spacing w:after="120"/>
        <w:ind w:left="454" w:hanging="454"/>
        <w:rPr>
          <w:sz w:val="24"/>
          <w:szCs w:val="24"/>
        </w:rPr>
      </w:pPr>
      <w:r w:rsidRPr="00EE0E4C">
        <w:rPr>
          <w:sz w:val="24"/>
          <w:szCs w:val="24"/>
        </w:rPr>
        <w:t>Garrett, J., Worrall, S. and Sweeney, S. (2020). Reducing Health Inequalities for People Living with Frailty: A resource for commissioners, service providers and health, care and support staff. [online] Available at: https://www.gypsy-traveller.org/wp-content/uploads/2020/10/health_ineq_final.pdf [Accessed 7 Jul. 2023].</w:t>
      </w:r>
    </w:p>
    <w:p w:rsidRPr="00EE0E4C" w:rsidR="004841C7" w:rsidP="00AF10D4" w:rsidRDefault="004841C7" w14:paraId="50C4777F" w14:textId="77777777">
      <w:pPr>
        <w:pStyle w:val="EndnoteText"/>
        <w:numPr>
          <w:ilvl w:val="0"/>
          <w:numId w:val="24"/>
        </w:numPr>
        <w:spacing w:after="120"/>
        <w:ind w:left="454" w:hanging="454"/>
        <w:rPr>
          <w:sz w:val="24"/>
          <w:szCs w:val="24"/>
        </w:rPr>
      </w:pPr>
      <w:r w:rsidRPr="00EE0E4C">
        <w:rPr>
          <w:sz w:val="24"/>
          <w:szCs w:val="24"/>
        </w:rPr>
        <w:t>Burns, J., Conway, D.I., Gnich, W. and Macpherson, L.M.D. (2021). A systematic review of interventions to link families with preschool children from healthcare services to community-based support. Journal of Public Health, 43(2), pp.e224–e235. doi:https://doi.org/10.1093/pubmed/fdaa242.</w:t>
      </w:r>
    </w:p>
    <w:p w:rsidRPr="00EE0E4C" w:rsidR="004841C7" w:rsidP="00AF10D4" w:rsidRDefault="004841C7" w14:paraId="1C2910FD" w14:textId="77777777">
      <w:pPr>
        <w:pStyle w:val="EndnoteText"/>
        <w:numPr>
          <w:ilvl w:val="0"/>
          <w:numId w:val="24"/>
        </w:numPr>
        <w:spacing w:after="120"/>
        <w:ind w:left="454" w:hanging="454"/>
        <w:rPr>
          <w:sz w:val="24"/>
          <w:szCs w:val="24"/>
        </w:rPr>
      </w:pPr>
      <w:r w:rsidRPr="00EE0E4C">
        <w:rPr>
          <w:sz w:val="24"/>
          <w:szCs w:val="24"/>
        </w:rPr>
        <w:t>Codjoe, L., Barber, S., Ahuja, S., Thornicroft, G., Henderson, C., Lempp, H. and N’Danga-Koroma, J. (2021). Evidence for interventions to promote mental health and reduce stigma in Black faith communities: systematic review. Social Psychiatry and Psychiatric Epidemiology, 56(6), pp.895–911. doi:https://doi.org/10.1007/s00127-021-02068-y.</w:t>
      </w:r>
    </w:p>
    <w:p w:rsidRPr="00EE0E4C" w:rsidR="004841C7" w:rsidP="00AF10D4" w:rsidRDefault="004841C7" w14:paraId="6E7D892F" w14:textId="77777777">
      <w:pPr>
        <w:pStyle w:val="EndnoteText"/>
        <w:numPr>
          <w:ilvl w:val="0"/>
          <w:numId w:val="24"/>
        </w:numPr>
        <w:spacing w:after="120"/>
        <w:ind w:left="454" w:hanging="454"/>
        <w:rPr>
          <w:sz w:val="24"/>
          <w:szCs w:val="24"/>
        </w:rPr>
      </w:pPr>
      <w:r w:rsidRPr="00EE0E4C">
        <w:rPr>
          <w:sz w:val="24"/>
          <w:szCs w:val="24"/>
        </w:rPr>
        <w:t>Lunt, N., Bainbridge, L. and Rippon, S. (2020). Strengths, assets and place – The emergence of Local Area Coordination initiatives in England and Wales. Journal of Social Work, p.146801732091817. doi:https://doi.org/10.1177/1468017320918174.</w:t>
      </w:r>
    </w:p>
    <w:p w:rsidRPr="00EE0E4C" w:rsidR="004841C7" w:rsidP="00AF10D4" w:rsidRDefault="004841C7" w14:paraId="6104B0A8" w14:textId="77777777">
      <w:pPr>
        <w:pStyle w:val="EndnoteText"/>
        <w:numPr>
          <w:ilvl w:val="0"/>
          <w:numId w:val="24"/>
        </w:numPr>
        <w:spacing w:after="120"/>
        <w:ind w:left="454" w:hanging="454"/>
        <w:rPr>
          <w:sz w:val="24"/>
          <w:szCs w:val="24"/>
        </w:rPr>
      </w:pPr>
      <w:r w:rsidRPr="00EE0E4C">
        <w:rPr>
          <w:sz w:val="24"/>
          <w:szCs w:val="24"/>
        </w:rPr>
        <w:t>Begh, R.A., Aveyard, P., Upton, P., Bhopal, R.S., White, M., Amos, A., Prescott, R.J., Bedi, R., Barton, P., Fletcher, M., Gill, P., Zaidi, Q. and Sheikh, A. (2011). Promoting smoking cessation in Pakistani and Bangladeshi men in the UK: pilot cluster randomised controlled trial of trained community outreach workers. Trials, 12(1). doi:https://doi.org/10.1186/1745-6215-12-197.</w:t>
      </w:r>
    </w:p>
    <w:p w:rsidRPr="00EE0E4C" w:rsidR="004841C7" w:rsidP="00AF10D4" w:rsidRDefault="004841C7" w14:paraId="0BF9FC1E" w14:textId="77777777">
      <w:pPr>
        <w:pStyle w:val="EndnoteText"/>
        <w:numPr>
          <w:ilvl w:val="0"/>
          <w:numId w:val="24"/>
        </w:numPr>
        <w:spacing w:after="120"/>
        <w:ind w:left="454" w:hanging="454"/>
        <w:rPr>
          <w:sz w:val="24"/>
          <w:szCs w:val="24"/>
        </w:rPr>
      </w:pPr>
      <w:r w:rsidRPr="00EE0E4C">
        <w:rPr>
          <w:sz w:val="24"/>
          <w:szCs w:val="24"/>
        </w:rPr>
        <w:t>Berry, V., Mitchell, S.B., Blower, S., Whittaker, K., Wilkinson, K., McGilloway, S., Mason-Jones, A., Carr, R.M. and Bywater, T. (2022). Barriers and facilitators in the delivery of a proportionate universal parenting program model (E-SEE Steps) in community family services. PLoS ONE, [online] 17(6), p.e0265946. doi:https://doi.org/10.1371/journal.pone.0265946.</w:t>
      </w:r>
    </w:p>
    <w:p w:rsidRPr="00EE0E4C" w:rsidR="004841C7" w:rsidP="00AF10D4" w:rsidRDefault="004841C7" w14:paraId="1049D1A2" w14:textId="77777777">
      <w:pPr>
        <w:pStyle w:val="EndnoteText"/>
        <w:numPr>
          <w:ilvl w:val="0"/>
          <w:numId w:val="24"/>
        </w:numPr>
        <w:spacing w:after="120"/>
        <w:ind w:left="454" w:hanging="454"/>
        <w:rPr>
          <w:sz w:val="24"/>
          <w:szCs w:val="24"/>
        </w:rPr>
      </w:pPr>
      <w:r w:rsidRPr="00EE0E4C">
        <w:rPr>
          <w:sz w:val="24"/>
          <w:szCs w:val="24"/>
        </w:rPr>
        <w:t>Curl A., Kearns A, Mason P, Egan, M., Tannahill, C. and Ellaway, A. (2015). Physical and mental health outcomes following housing improvements: evidence from the GoWell study.</w:t>
      </w:r>
      <w:r w:rsidRPr="00EE0E4C">
        <w:t xml:space="preserve"> </w:t>
      </w:r>
      <w:r w:rsidRPr="00EE0E4C">
        <w:rPr>
          <w:sz w:val="24"/>
          <w:szCs w:val="24"/>
        </w:rPr>
        <w:t>Journal of Epidemiology and Community Health, 69(1), pp. 12–19. doi:https://doi.org 10.1136/jech-2014-204064.</w:t>
      </w:r>
    </w:p>
    <w:p w:rsidRPr="00EE0E4C" w:rsidR="004841C7" w:rsidP="00AF10D4" w:rsidRDefault="004841C7" w14:paraId="7AFBF94F" w14:textId="77777777">
      <w:pPr>
        <w:pStyle w:val="EndnoteText"/>
        <w:numPr>
          <w:ilvl w:val="0"/>
          <w:numId w:val="24"/>
        </w:numPr>
        <w:spacing w:after="120"/>
        <w:ind w:left="454" w:hanging="454"/>
        <w:rPr>
          <w:sz w:val="24"/>
          <w:szCs w:val="24"/>
        </w:rPr>
      </w:pPr>
      <w:r w:rsidRPr="00EE0E4C">
        <w:rPr>
          <w:sz w:val="24"/>
          <w:szCs w:val="24"/>
        </w:rPr>
        <w:t>Egan, M., Kearns, A., Katikireddi, S., Curl, A., Lawson, K. and Tannahill, C. (2016). Proportionate universalism in practice? A quasi-experimental study (GoWell) of a UK neighbourhood renewal programme's impact on health inequalities. Social Science &amp; Medicine, 152, pp. 41–49. doi:https://doi.org/10.1016/j.socscimed.2016.01.026.</w:t>
      </w:r>
    </w:p>
    <w:p w:rsidRPr="00EE0E4C" w:rsidR="004841C7" w:rsidP="00AF10D4" w:rsidRDefault="004841C7" w14:paraId="2F983427" w14:textId="77777777">
      <w:pPr>
        <w:pStyle w:val="EndnoteText"/>
        <w:numPr>
          <w:ilvl w:val="0"/>
          <w:numId w:val="24"/>
        </w:numPr>
        <w:spacing w:after="120"/>
        <w:ind w:left="454" w:hanging="454"/>
        <w:rPr>
          <w:sz w:val="24"/>
          <w:szCs w:val="24"/>
        </w:rPr>
      </w:pPr>
      <w:r w:rsidRPr="00EE0E4C">
        <w:rPr>
          <w:sz w:val="24"/>
          <w:szCs w:val="24"/>
        </w:rPr>
        <w:t>Dowrick, C., Bower, P., Chew-Graham, C., Lovell, K., Edwards, S., Lamb, J., Bristow, K., Gabbay, M., Burroughs, H., Beatty, S., Waheed, W., Hann, M. and Gask, L. (2016). Evaluating a complex model designed to increase access to high quality primary mental health care for under-served groups: a multi-method study. BMC Health Services Research, 16(1). doi:https://doi.org/10.1186/s12913-016-1298-5.</w:t>
      </w:r>
    </w:p>
    <w:p w:rsidRPr="00EE0E4C" w:rsidR="004841C7" w:rsidP="00AF10D4" w:rsidRDefault="004841C7" w14:paraId="7D1577BC" w14:textId="77777777">
      <w:pPr>
        <w:pStyle w:val="EndnoteText"/>
        <w:numPr>
          <w:ilvl w:val="0"/>
          <w:numId w:val="24"/>
        </w:numPr>
        <w:spacing w:after="120"/>
        <w:ind w:left="454" w:hanging="454"/>
        <w:rPr>
          <w:sz w:val="24"/>
          <w:szCs w:val="24"/>
        </w:rPr>
      </w:pPr>
      <w:r w:rsidRPr="00EE0E4C">
        <w:rPr>
          <w:sz w:val="24"/>
          <w:szCs w:val="24"/>
        </w:rPr>
        <w:t>Smith, S.G., Rendell, H., George, H. and Power, E. (2014). Improving cancer control through a community-based cancer awareness initiative. Preventive Medicine, 60, pp.121–123. doi:https://doi.org/10.1016/j.ypmed.2013.11.002.</w:t>
      </w:r>
    </w:p>
    <w:p w:rsidRPr="00EE0E4C" w:rsidR="004841C7" w:rsidP="00AF10D4" w:rsidRDefault="004841C7" w14:paraId="3B9F50A6" w14:textId="77777777">
      <w:pPr>
        <w:pStyle w:val="EndnoteText"/>
        <w:numPr>
          <w:ilvl w:val="0"/>
          <w:numId w:val="24"/>
        </w:numPr>
        <w:spacing w:after="120"/>
        <w:ind w:left="454" w:hanging="454"/>
        <w:rPr>
          <w:sz w:val="24"/>
          <w:szCs w:val="24"/>
        </w:rPr>
      </w:pPr>
      <w:r w:rsidRPr="00EE0E4C">
        <w:rPr>
          <w:sz w:val="24"/>
          <w:szCs w:val="24"/>
        </w:rPr>
        <w:t>Mantovani, N., Pizzolati, M. and Gillard, S. (2015). Engaging communities to improve mental health in African and African Caribbean groups: a qualitative study evaluating the role of community well-being champions. Health &amp; Social Care in the Community, 25(1), pp.167–176. doi:https://doi.org/10.1111/hsc.12288.</w:t>
      </w:r>
    </w:p>
    <w:p w:rsidRPr="00EE0E4C" w:rsidR="004841C7" w:rsidP="00AF10D4" w:rsidRDefault="004841C7" w14:paraId="69E5B2C4" w14:textId="77777777">
      <w:pPr>
        <w:pStyle w:val="EndnoteText"/>
        <w:numPr>
          <w:ilvl w:val="0"/>
          <w:numId w:val="24"/>
        </w:numPr>
        <w:spacing w:after="120"/>
        <w:ind w:left="454" w:hanging="454"/>
        <w:rPr>
          <w:sz w:val="24"/>
          <w:szCs w:val="24"/>
        </w:rPr>
      </w:pPr>
      <w:r w:rsidRPr="00EE0E4C">
        <w:rPr>
          <w:sz w:val="24"/>
          <w:szCs w:val="24"/>
        </w:rPr>
        <w:t>Brown, J., Luderowski, A., Namusisi-Riley, J., Moore-Shelley, I., Bolton, M. and Bolton, D. (2020). Can a Community-Led Intervention Offering Social Support and Health Education Improve Maternal Health? A Repeated Measures Evaluation of the PACT Project Run in a Socially Deprived London Borough. International Journal of Environmental Research and Public Health, [online] 17(8), p.2795. doi:https://doi.org/10.3390/ijerph17082795.</w:t>
      </w:r>
    </w:p>
    <w:p w:rsidRPr="00EE0E4C" w:rsidR="004841C7" w:rsidP="00AF10D4" w:rsidRDefault="004841C7" w14:paraId="2C07E777" w14:textId="67CD8758">
      <w:pPr>
        <w:pStyle w:val="EndnoteText"/>
        <w:numPr>
          <w:ilvl w:val="0"/>
          <w:numId w:val="24"/>
        </w:numPr>
        <w:spacing w:after="120"/>
        <w:ind w:left="454" w:hanging="454"/>
        <w:rPr>
          <w:sz w:val="24"/>
          <w:szCs w:val="24"/>
        </w:rPr>
      </w:pPr>
      <w:r w:rsidRPr="00EE0E4C">
        <w:rPr>
          <w:sz w:val="24"/>
          <w:szCs w:val="24"/>
        </w:rPr>
        <w:t>Hafford-Letchfield, T., Simpson, P., Willis, P.B. and Almack, K. (2017). Developing inclusive residential care for older lesbian, gay, bisexual and trans (LGBT) people: An evaluation of the</w:t>
      </w:r>
      <w:r w:rsidRPr="00EE0E4C" w:rsidR="00413772">
        <w:rPr>
          <w:sz w:val="24"/>
          <w:szCs w:val="24"/>
        </w:rPr>
        <w:t xml:space="preserve"> </w:t>
      </w:r>
      <w:r w:rsidRPr="00EE0E4C">
        <w:rPr>
          <w:sz w:val="24"/>
          <w:szCs w:val="24"/>
        </w:rPr>
        <w:t>Care Home Challenge</w:t>
      </w:r>
      <w:r w:rsidRPr="00EE0E4C" w:rsidR="00413772">
        <w:rPr>
          <w:sz w:val="24"/>
          <w:szCs w:val="24"/>
        </w:rPr>
        <w:t xml:space="preserve"> </w:t>
      </w:r>
      <w:r w:rsidRPr="00EE0E4C">
        <w:rPr>
          <w:sz w:val="24"/>
          <w:szCs w:val="24"/>
        </w:rPr>
        <w:t>action research project. Health &amp; Social Care in the Community, 26(2), pp.e312–e320. doi:https://doi.org/10.1111/hsc.12521.</w:t>
      </w:r>
    </w:p>
    <w:p w:rsidRPr="00EE0E4C" w:rsidR="004841C7" w:rsidP="00AF10D4" w:rsidRDefault="004841C7" w14:paraId="4647870A" w14:textId="77777777">
      <w:pPr>
        <w:pStyle w:val="EndnoteText"/>
        <w:numPr>
          <w:ilvl w:val="0"/>
          <w:numId w:val="24"/>
        </w:numPr>
        <w:spacing w:after="120"/>
        <w:ind w:left="454" w:hanging="454"/>
        <w:rPr>
          <w:sz w:val="24"/>
          <w:szCs w:val="24"/>
        </w:rPr>
      </w:pPr>
      <w:r w:rsidRPr="00EE0E4C">
        <w:rPr>
          <w:sz w:val="24"/>
          <w:szCs w:val="24"/>
        </w:rPr>
        <w:t>Lwembe, S., Green, S.A., Chigwende, J., Ojwang, T. and Dennis, R. (2016). Co-production as an approach to developing stakeholder partnerships to reduce mental health inequalities: an evaluation of a pilot service. Primary Health Care Research &amp; Development, 18(01), pp.14–23. doi:https://doi.org/10.1017/s1463423616000141.</w:t>
      </w:r>
    </w:p>
    <w:p w:rsidRPr="00EE0E4C" w:rsidR="004841C7" w:rsidP="00AF10D4" w:rsidRDefault="004841C7" w14:paraId="4114570F" w14:textId="77777777">
      <w:pPr>
        <w:pStyle w:val="EndnoteText"/>
        <w:numPr>
          <w:ilvl w:val="0"/>
          <w:numId w:val="24"/>
        </w:numPr>
        <w:spacing w:after="120"/>
        <w:ind w:left="454" w:hanging="454"/>
        <w:rPr>
          <w:sz w:val="24"/>
          <w:szCs w:val="24"/>
        </w:rPr>
      </w:pPr>
      <w:r w:rsidRPr="00EE0E4C">
        <w:rPr>
          <w:sz w:val="24"/>
          <w:szCs w:val="24"/>
        </w:rPr>
        <w:t>Whitty, C. (2021). Chief Medical Officer’s Annual Report 2021 Health in Coastal Communities. [online] Available at: https://assets.publishing.service.gov.uk/government/uploads/system/uploads/attachment_data/file/1005216/cmo-annual_report-2021-health-in-coastal-communities-accessible.pdf [Accessed 7 Jul. 2023].</w:t>
      </w:r>
    </w:p>
    <w:p w:rsidRPr="00EE0E4C" w:rsidR="004841C7" w:rsidP="00AF10D4" w:rsidRDefault="004841C7" w14:paraId="445CBEC7" w14:textId="77777777">
      <w:pPr>
        <w:pStyle w:val="EndnoteText"/>
        <w:numPr>
          <w:ilvl w:val="0"/>
          <w:numId w:val="24"/>
        </w:numPr>
        <w:spacing w:after="120"/>
        <w:ind w:left="454" w:hanging="454"/>
        <w:rPr>
          <w:sz w:val="24"/>
          <w:szCs w:val="24"/>
        </w:rPr>
      </w:pPr>
      <w:r w:rsidRPr="00EE0E4C">
        <w:rPr>
          <w:sz w:val="24"/>
          <w:szCs w:val="24"/>
        </w:rPr>
        <w:t>Lamb, J., Dowrick, C., Burroughs, H., Beatty, S., Edwards, S., Bristow, K., Clarke, P., Hammond, J., Waheed, W., Gabbay, M. and Gask, L. (2014). Community Engagement in a complex intervention to improve access to primary mental health care for hard-to-reach groups. Health Expectations, [online] 18(6), pp.2865–2879. doi:https://doi.org/10.1111/hex.12272.</w:t>
      </w:r>
    </w:p>
    <w:p w:rsidRPr="00EE0E4C" w:rsidR="004841C7" w:rsidP="00AF10D4" w:rsidRDefault="004841C7" w14:paraId="350FBA73" w14:textId="77777777">
      <w:pPr>
        <w:pStyle w:val="EndnoteText"/>
        <w:numPr>
          <w:ilvl w:val="0"/>
          <w:numId w:val="24"/>
        </w:numPr>
        <w:spacing w:after="120"/>
        <w:ind w:left="454" w:hanging="454"/>
        <w:rPr>
          <w:sz w:val="24"/>
          <w:szCs w:val="24"/>
        </w:rPr>
      </w:pPr>
      <w:r w:rsidRPr="00EE0E4C">
        <w:rPr>
          <w:sz w:val="24"/>
          <w:szCs w:val="24"/>
        </w:rPr>
        <w:t>Snooks, H.A., Evans, B.A., Cohen, D., Nugent, M., Rapport, F., Skone, J., Meredith, A., Davies, T. and O’Sullivan, D. (2011). Costs and effects of a ‘healthy living’ approach to community development in two deprived communities: findings from a mixed methods study. BMC Public Health, 11(1). doi:https://doi.org/10.1186/1471-2458-11-25.</w:t>
      </w:r>
    </w:p>
    <w:p w:rsidRPr="00EE0E4C" w:rsidR="004841C7" w:rsidP="00AF10D4" w:rsidRDefault="004841C7" w14:paraId="3770A5AB" w14:textId="77777777">
      <w:pPr>
        <w:pStyle w:val="EndnoteText"/>
        <w:numPr>
          <w:ilvl w:val="0"/>
          <w:numId w:val="24"/>
        </w:numPr>
        <w:spacing w:after="120"/>
        <w:ind w:left="454" w:hanging="454"/>
        <w:rPr>
          <w:sz w:val="24"/>
          <w:szCs w:val="24"/>
        </w:rPr>
      </w:pPr>
      <w:r w:rsidRPr="00EE0E4C">
        <w:rPr>
          <w:sz w:val="24"/>
          <w:szCs w:val="24"/>
        </w:rPr>
        <w:t>Wright</w:t>
      </w:r>
      <w:r w:rsidRPr="00EE0E4C">
        <w:rPr>
          <w:rFonts w:ascii="Cambria Math" w:hAnsi="Cambria Math" w:cs="Cambria Math"/>
          <w:sz w:val="24"/>
          <w:szCs w:val="24"/>
        </w:rPr>
        <w:t>‐</w:t>
      </w:r>
      <w:r w:rsidRPr="00EE0E4C">
        <w:rPr>
          <w:sz w:val="24"/>
          <w:szCs w:val="24"/>
        </w:rPr>
        <w:t>Bevans, K., Walker, A. and Vosper, E. (2020). Why disadvantaged older adults engage in community consultation: A world caf</w:t>
      </w:r>
      <w:r w:rsidRPr="00EE0E4C">
        <w:rPr>
          <w:rFonts w:cs="Arial"/>
          <w:sz w:val="24"/>
          <w:szCs w:val="24"/>
        </w:rPr>
        <w:t>é</w:t>
      </w:r>
      <w:r w:rsidRPr="00EE0E4C">
        <w:rPr>
          <w:sz w:val="24"/>
          <w:szCs w:val="24"/>
        </w:rPr>
        <w:t xml:space="preserve"> study.</w:t>
      </w:r>
      <w:r w:rsidRPr="00EE0E4C">
        <w:rPr>
          <w:rFonts w:cs="Arial"/>
          <w:sz w:val="24"/>
          <w:szCs w:val="24"/>
        </w:rPr>
        <w:t> </w:t>
      </w:r>
      <w:r w:rsidRPr="00EE0E4C">
        <w:rPr>
          <w:sz w:val="24"/>
          <w:szCs w:val="24"/>
        </w:rPr>
        <w:t>Journal of Community &amp; Applied Social Psychology. doi:https://doi.org/10.1002/casp.2467.</w:t>
      </w:r>
    </w:p>
    <w:p w:rsidRPr="00EE0E4C" w:rsidR="004841C7" w:rsidP="00AF10D4" w:rsidRDefault="004841C7" w14:paraId="77906D6E" w14:textId="77777777">
      <w:pPr>
        <w:pStyle w:val="EndnoteText"/>
        <w:numPr>
          <w:ilvl w:val="0"/>
          <w:numId w:val="24"/>
        </w:numPr>
        <w:spacing w:after="120"/>
        <w:ind w:left="454" w:hanging="454"/>
        <w:rPr>
          <w:sz w:val="24"/>
          <w:szCs w:val="24"/>
        </w:rPr>
      </w:pPr>
      <w:r w:rsidRPr="00EE0E4C">
        <w:rPr>
          <w:sz w:val="24"/>
          <w:szCs w:val="24"/>
        </w:rPr>
        <w:t>Caperon, L., Saville, F. and Ahern, S. (2022). Developing a socio-ecological model for community engagement in a health programme in an underserved urban area. PLOS ONE, [online] 17(9), p.e0275092. doi:https://doi.org/10.1371/journal.pone.0275092.</w:t>
      </w:r>
    </w:p>
    <w:p w:rsidRPr="00EE0E4C" w:rsidR="004841C7" w:rsidP="00AF10D4" w:rsidRDefault="004841C7" w14:paraId="7AC30CC5" w14:textId="77777777">
      <w:pPr>
        <w:pStyle w:val="EndnoteText"/>
        <w:numPr>
          <w:ilvl w:val="0"/>
          <w:numId w:val="24"/>
        </w:numPr>
        <w:spacing w:after="120"/>
        <w:ind w:left="454" w:hanging="454"/>
        <w:rPr>
          <w:sz w:val="24"/>
          <w:szCs w:val="24"/>
        </w:rPr>
      </w:pPr>
      <w:r w:rsidRPr="00EE0E4C">
        <w:rPr>
          <w:sz w:val="24"/>
          <w:szCs w:val="24"/>
        </w:rPr>
        <w:t>Carlisle, S. (2010). Tackling health inequalities and social exclusion through partnership and community engagement? A reality check for policy and practice aspirations from a Social Inclusion Partnership in Scotland. Critical Public Health, 20(1), pp.117–127. doi:https://doi.org/10.1080/09581590802277341.</w:t>
      </w:r>
    </w:p>
    <w:p w:rsidRPr="00EE0E4C" w:rsidR="004841C7" w:rsidP="00AF10D4" w:rsidRDefault="004841C7" w14:paraId="27CDCC7E" w14:textId="77777777">
      <w:pPr>
        <w:pStyle w:val="EndnoteText"/>
        <w:numPr>
          <w:ilvl w:val="0"/>
          <w:numId w:val="24"/>
        </w:numPr>
        <w:spacing w:after="120"/>
        <w:ind w:left="454" w:hanging="454"/>
        <w:rPr>
          <w:sz w:val="24"/>
          <w:szCs w:val="24"/>
        </w:rPr>
      </w:pPr>
      <w:r w:rsidRPr="00EE0E4C">
        <w:rPr>
          <w:sz w:val="24"/>
          <w:szCs w:val="24"/>
        </w:rPr>
        <w:t>Stansfield, J., South, J. and Mapplethorpe, T. (2020). What are the elements of a whole system approach to community-centred public health? A qualitative study with public health leaders in England’s local authority areas. BMJ Open, [online] 10(8), p.e036044. doi:https://doi.org/10.1136/bmjopen-2019-036044.</w:t>
      </w:r>
    </w:p>
    <w:p w:rsidRPr="00EE0E4C" w:rsidR="004841C7" w:rsidP="00AF10D4" w:rsidRDefault="004841C7" w14:paraId="1D2AB90B" w14:textId="77777777">
      <w:pPr>
        <w:pStyle w:val="EndnoteText"/>
        <w:numPr>
          <w:ilvl w:val="0"/>
          <w:numId w:val="24"/>
        </w:numPr>
        <w:spacing w:after="120"/>
        <w:ind w:left="454" w:hanging="454"/>
        <w:rPr>
          <w:sz w:val="24"/>
          <w:szCs w:val="24"/>
        </w:rPr>
      </w:pPr>
      <w:r w:rsidRPr="00EE0E4C">
        <w:rPr>
          <w:sz w:val="24"/>
          <w:szCs w:val="24"/>
        </w:rPr>
        <w:t>Dickerson, J., Bird, P.K., Bryant, M., Dharni, N., Bridges, S., Willan, K., Ahern, S., Dunn, A., Nielsen, D., Uphoff, E.P., Bywater, T., Bowyer-Crane, C., Sahota, P., Small, N., Howell, M., Thornton, G., Pickett, K.E., McEachan, R.R.C. and Wright, J. (2019). Integrating research and system-wide practice in public health: lessons learnt from Better Start Bradford. BMC Public Health, 19(1). doi:https://doi.org/10.1186/s12889-019-6554-2.</w:t>
      </w:r>
    </w:p>
    <w:p w:rsidRPr="00EE0E4C" w:rsidR="004841C7" w:rsidP="00AF10D4" w:rsidRDefault="004841C7" w14:paraId="0B09A87A" w14:textId="77777777">
      <w:pPr>
        <w:pStyle w:val="EndnoteText"/>
        <w:numPr>
          <w:ilvl w:val="0"/>
          <w:numId w:val="24"/>
        </w:numPr>
        <w:spacing w:after="120"/>
        <w:ind w:left="454" w:hanging="454"/>
        <w:rPr>
          <w:sz w:val="24"/>
          <w:szCs w:val="24"/>
        </w:rPr>
      </w:pPr>
      <w:r w:rsidRPr="00EE0E4C">
        <w:rPr>
          <w:sz w:val="24"/>
          <w:szCs w:val="24"/>
        </w:rPr>
        <w:t>The King’s Fund (2021). Ethnic health inequalities and the NHS Driving progress in a changing system. [online] Available at: https://www.nhsrho.org/wp-content/uploads/2021/06/Ethnic-Health-Inequalities-Kings-Fund-Report.pdf [Accessed 7 Jul. 2023].</w:t>
      </w:r>
    </w:p>
    <w:p w:rsidRPr="00EE0E4C" w:rsidR="004841C7" w:rsidP="00AF10D4" w:rsidRDefault="004841C7" w14:paraId="0C90FCC2" w14:textId="77777777">
      <w:pPr>
        <w:pStyle w:val="EndnoteText"/>
        <w:numPr>
          <w:ilvl w:val="0"/>
          <w:numId w:val="24"/>
        </w:numPr>
        <w:spacing w:after="120"/>
        <w:ind w:left="454" w:hanging="454"/>
        <w:rPr>
          <w:sz w:val="24"/>
          <w:szCs w:val="24"/>
        </w:rPr>
      </w:pPr>
      <w:r w:rsidRPr="00EE0E4C">
        <w:rPr>
          <w:sz w:val="24"/>
          <w:szCs w:val="24"/>
        </w:rPr>
        <w:t>The Health Foundation, NHS England and the Yorkshire and Humber Academic Health Science Network (2022). Tackling inequalities in healthcare access, experience, and outcomes: Actionable Insights. Available at: https://www.england.nhs.uk/wp-content/uploads/2022/07/B1779-Actionable-Insights-Tackling-inequalities-in-healthcare-access-experience-and-outcomes-guidance-July-202.pdf [Accessed 7 Jul. 2023].</w:t>
      </w:r>
    </w:p>
    <w:p w:rsidRPr="00EE0E4C" w:rsidR="004841C7" w:rsidP="00AF10D4" w:rsidRDefault="004841C7" w14:paraId="447719F1" w14:textId="77777777">
      <w:pPr>
        <w:pStyle w:val="EndnoteText"/>
        <w:numPr>
          <w:ilvl w:val="0"/>
          <w:numId w:val="24"/>
        </w:numPr>
        <w:spacing w:after="120"/>
        <w:ind w:left="454" w:hanging="454"/>
        <w:rPr>
          <w:sz w:val="24"/>
          <w:szCs w:val="24"/>
        </w:rPr>
      </w:pPr>
      <w:r w:rsidRPr="00EE0E4C">
        <w:rPr>
          <w:sz w:val="24"/>
          <w:szCs w:val="24"/>
        </w:rPr>
        <w:t>Health Anchors Learning Network. (n.d.). Anchor case studies. [online] Available at: https://haln.org.uk/case-studies [Accessed 7 Jul. 2023].</w:t>
      </w:r>
    </w:p>
    <w:p w:rsidRPr="00EE0E4C" w:rsidR="004841C7" w:rsidP="00AF10D4" w:rsidRDefault="004841C7" w14:paraId="106F98A7" w14:textId="061DE8C2">
      <w:pPr>
        <w:pStyle w:val="EndnoteText"/>
        <w:numPr>
          <w:ilvl w:val="0"/>
          <w:numId w:val="24"/>
        </w:numPr>
        <w:spacing w:after="120"/>
        <w:ind w:left="454" w:hanging="454"/>
        <w:rPr>
          <w:sz w:val="24"/>
          <w:szCs w:val="24"/>
        </w:rPr>
      </w:pPr>
      <w:r w:rsidRPr="00EE0E4C">
        <w:rPr>
          <w:sz w:val="24"/>
          <w:szCs w:val="24"/>
        </w:rPr>
        <w:t>Duncan, F., Baskin, C., McGrath, M., Coker, J.F., Lee, C., Dykxhoorn, J., Adams, E.A., Gnani, S., Lafortune, L., Kirkbride, J.B., Kaner, E., Jones, O., Samuel, G., Walters, K., Osborn, D. and Oliver, E.J. (2021). Community interventions for improving adult mental health: mapping local policy and practice in England. BMC Public Health, [online] 21(1). doi:https://doi.org/10.1186/s12889-021-11741-5.</w:t>
      </w:r>
    </w:p>
    <w:p w:rsidRPr="00EE0E4C" w:rsidR="004841C7" w:rsidP="00AF10D4" w:rsidRDefault="004841C7" w14:paraId="243FF25F" w14:textId="77777777">
      <w:pPr>
        <w:pStyle w:val="EndnoteText"/>
        <w:numPr>
          <w:ilvl w:val="0"/>
          <w:numId w:val="24"/>
        </w:numPr>
        <w:spacing w:after="120"/>
        <w:ind w:left="454" w:hanging="454"/>
        <w:rPr>
          <w:sz w:val="24"/>
          <w:szCs w:val="24"/>
        </w:rPr>
      </w:pPr>
      <w:r w:rsidRPr="00EE0E4C">
        <w:rPr>
          <w:sz w:val="24"/>
          <w:szCs w:val="24"/>
        </w:rPr>
        <w:t>Gosling, R., Davies, S. and Hussey, J. (2016). How integrating primary care and public health could improve population health outcomes: a view from Liverpool, UK. Public Health Research &amp; Practice, 26(1). doi:https://doi.org/10.17061/phrp2611602.</w:t>
      </w:r>
    </w:p>
    <w:p w:rsidRPr="00EE0E4C" w:rsidR="004841C7" w:rsidP="00AF10D4" w:rsidRDefault="004841C7" w14:paraId="4441E6BA" w14:textId="77777777">
      <w:pPr>
        <w:pStyle w:val="EndnoteText"/>
        <w:numPr>
          <w:ilvl w:val="0"/>
          <w:numId w:val="24"/>
        </w:numPr>
        <w:spacing w:after="120"/>
        <w:ind w:left="454" w:hanging="454"/>
        <w:rPr>
          <w:sz w:val="24"/>
          <w:szCs w:val="24"/>
        </w:rPr>
      </w:pPr>
      <w:r w:rsidRPr="00EE0E4C">
        <w:rPr>
          <w:sz w:val="24"/>
          <w:szCs w:val="24"/>
        </w:rPr>
        <w:t>Cowley, S. (2011). Home visitors and child health in England: advances and challenges. Revista da Escola de Enfermagem da USP, 45(spe2), pp.1810–1816. doi:https://doi.org/10.1590/s0080-62342011000800030.</w:t>
      </w:r>
    </w:p>
    <w:p w:rsidRPr="00EE0E4C" w:rsidR="004841C7" w:rsidP="00AF10D4" w:rsidRDefault="004841C7" w14:paraId="2F3D3A99" w14:textId="77777777">
      <w:pPr>
        <w:pStyle w:val="EndnoteText"/>
        <w:numPr>
          <w:ilvl w:val="0"/>
          <w:numId w:val="24"/>
        </w:numPr>
        <w:spacing w:after="120"/>
        <w:ind w:left="454" w:hanging="454"/>
        <w:rPr>
          <w:sz w:val="24"/>
          <w:szCs w:val="24"/>
        </w:rPr>
      </w:pPr>
      <w:r w:rsidRPr="00EE0E4C">
        <w:rPr>
          <w:sz w:val="24"/>
          <w:szCs w:val="24"/>
        </w:rPr>
        <w:t>Johnstone, P.W. (2019). A case study of new approaches to address health inequalities: Due North five years on. British Medical Bulletin. 132(1), pp.17–31. doi:https://doi.org/10.1093/bmb/ldz037.</w:t>
      </w:r>
    </w:p>
    <w:p w:rsidRPr="00EE0E4C" w:rsidR="004841C7" w:rsidP="00AF10D4" w:rsidRDefault="004841C7" w14:paraId="5AFDCEEE" w14:textId="77777777">
      <w:pPr>
        <w:pStyle w:val="EndnoteText"/>
        <w:numPr>
          <w:ilvl w:val="0"/>
          <w:numId w:val="24"/>
        </w:numPr>
        <w:spacing w:after="120"/>
        <w:ind w:left="454" w:hanging="454"/>
        <w:rPr>
          <w:sz w:val="24"/>
          <w:szCs w:val="24"/>
        </w:rPr>
      </w:pPr>
      <w:r w:rsidRPr="00EE0E4C">
        <w:rPr>
          <w:sz w:val="24"/>
          <w:szCs w:val="24"/>
        </w:rPr>
        <w:t>Pritchett, R.M., Hine, C.E., Franks, M.A. and Fisher-Brown, L. (2014). Student-led oral health education for the homeless community of East London. British Dental Journal, [online] 217(2), pp.85–88. doi:https://doi.org/10.1038/sj.bdj.2014.595.</w:t>
      </w:r>
    </w:p>
    <w:p w:rsidRPr="00EE0E4C" w:rsidR="004841C7" w:rsidP="00AF10D4" w:rsidRDefault="004841C7" w14:paraId="55F86803" w14:textId="77777777">
      <w:pPr>
        <w:pStyle w:val="EndnoteText"/>
        <w:numPr>
          <w:ilvl w:val="0"/>
          <w:numId w:val="24"/>
        </w:numPr>
        <w:spacing w:after="120"/>
        <w:ind w:left="454" w:hanging="454"/>
        <w:rPr>
          <w:sz w:val="24"/>
          <w:szCs w:val="24"/>
        </w:rPr>
      </w:pPr>
      <w:r w:rsidRPr="00EE0E4C">
        <w:rPr>
          <w:sz w:val="24"/>
          <w:szCs w:val="24"/>
        </w:rPr>
        <w:t>Smith, S.A., Heslehurst, N., Ells, L.J. and Wilkinson, J.R. (2011). Community-based service provision for the prevention and management of maternal obesity in the North East of England: A qualitative study. Public Health, 125(8), pp.518–524. doi:https://doi.org/10.1016/j.puhe.2011.05.004.</w:t>
      </w:r>
    </w:p>
    <w:p w:rsidRPr="00EE0E4C" w:rsidR="004841C7" w:rsidP="00AF10D4" w:rsidRDefault="004841C7" w14:paraId="35BB15FB" w14:textId="77777777">
      <w:pPr>
        <w:pStyle w:val="EndnoteText"/>
        <w:numPr>
          <w:ilvl w:val="0"/>
          <w:numId w:val="24"/>
        </w:numPr>
        <w:spacing w:after="120"/>
        <w:ind w:left="454" w:hanging="454"/>
        <w:rPr>
          <w:sz w:val="24"/>
          <w:szCs w:val="24"/>
        </w:rPr>
      </w:pPr>
      <w:r w:rsidRPr="00EE0E4C">
        <w:rPr>
          <w:sz w:val="24"/>
          <w:szCs w:val="24"/>
        </w:rPr>
        <w:t>Williams, O. (2017). Identifying adverse effects of area-based health policy: An ethnographic study of a deprived neighbourhood in England. Health &amp; Place, 45, pp.85–91. doi:https://doi.org/10.1016/j.healthplace.2017.02.011.</w:t>
      </w:r>
    </w:p>
    <w:p w:rsidRPr="00EE0E4C" w:rsidR="004841C7" w:rsidP="00AF10D4" w:rsidRDefault="004841C7" w14:paraId="6F977C35" w14:textId="700D5923">
      <w:pPr>
        <w:pStyle w:val="EndnoteText"/>
        <w:numPr>
          <w:ilvl w:val="0"/>
          <w:numId w:val="24"/>
        </w:numPr>
        <w:spacing w:after="120"/>
        <w:ind w:left="454" w:hanging="454"/>
        <w:rPr>
          <w:sz w:val="24"/>
          <w:szCs w:val="24"/>
        </w:rPr>
      </w:pPr>
      <w:r w:rsidRPr="00EE0E4C">
        <w:rPr>
          <w:sz w:val="24"/>
          <w:szCs w:val="24"/>
        </w:rPr>
        <w:t>O’Donnell, P., Tierney, E., O’Carroll, A., Nurse, D. and MacFarlane, A. (2016). Exploring levers and barriers to accessing primary care for marginalised groups and identifying their priorities for primary care provision: a participatory learning and action research study. International Journal for Equity in Health, 15(1). doi:https://doi.org/10.1186/s12939-016-0487-5.</w:t>
      </w:r>
    </w:p>
    <w:p w:rsidRPr="00EE0E4C" w:rsidR="004841C7" w:rsidP="00AF10D4" w:rsidRDefault="004841C7" w14:paraId="2184F717" w14:textId="77777777">
      <w:pPr>
        <w:pStyle w:val="EndnoteText"/>
        <w:numPr>
          <w:ilvl w:val="0"/>
          <w:numId w:val="24"/>
        </w:numPr>
        <w:spacing w:after="120"/>
        <w:ind w:left="454" w:hanging="454"/>
        <w:rPr>
          <w:sz w:val="24"/>
          <w:szCs w:val="24"/>
        </w:rPr>
      </w:pPr>
      <w:r w:rsidRPr="00EE0E4C">
        <w:rPr>
          <w:sz w:val="24"/>
          <w:szCs w:val="24"/>
        </w:rPr>
        <w:t>Salway, S., Mir, G., Turner, D., Ellison, G.T.H., Carter, L. and Gerrish, K. (2016). Obstacles to ‘race equality’ in the English National Health Service: Insights from the healthcare commissioning arena. Social Science &amp; Medicine, 152, pp.102–110. doi:https://doi.org/10.1016/j.socscimed.2016.01.031.</w:t>
      </w:r>
    </w:p>
    <w:p w:rsidRPr="00EE0E4C" w:rsidR="004841C7" w:rsidP="00AF10D4" w:rsidRDefault="004841C7" w14:paraId="0507EE52" w14:textId="77777777">
      <w:pPr>
        <w:pStyle w:val="EndnoteText"/>
        <w:numPr>
          <w:ilvl w:val="0"/>
          <w:numId w:val="24"/>
        </w:numPr>
        <w:spacing w:after="120"/>
        <w:ind w:left="454" w:hanging="454"/>
        <w:rPr>
          <w:sz w:val="24"/>
          <w:szCs w:val="24"/>
        </w:rPr>
      </w:pPr>
      <w:r w:rsidRPr="00EE0E4C">
        <w:rPr>
          <w:sz w:val="24"/>
          <w:szCs w:val="24"/>
        </w:rPr>
        <w:t>Linnell S, James S. (2010). Involving men in targeted primary health care: men's health MOTs. Community practitioner: the journal of the Community Practitioners' &amp; Health Visitors' Association. 83(5), pp. 31–34.</w:t>
      </w:r>
    </w:p>
    <w:p w:rsidRPr="00EE0E4C" w:rsidR="004841C7" w:rsidP="00AF10D4" w:rsidRDefault="004841C7" w14:paraId="1C4E85C6" w14:textId="77777777">
      <w:pPr>
        <w:pStyle w:val="EndnoteText"/>
        <w:numPr>
          <w:ilvl w:val="0"/>
          <w:numId w:val="24"/>
        </w:numPr>
        <w:spacing w:after="120"/>
        <w:ind w:left="454" w:hanging="454"/>
        <w:rPr>
          <w:sz w:val="24"/>
          <w:szCs w:val="24"/>
        </w:rPr>
      </w:pPr>
      <w:r w:rsidRPr="00EE0E4C">
        <w:rPr>
          <w:sz w:val="24"/>
          <w:szCs w:val="24"/>
        </w:rPr>
        <w:t>McEvoy, R. and MacFarlane, A. (2012). Community participation in primary care in Ireland: the need for implementation research. Primary Health Care Research &amp; Development, 14(02), pp.126–139. doi:https://doi.org/10.1017/s1463423612000163.</w:t>
      </w:r>
    </w:p>
    <w:p w:rsidRPr="00EE0E4C" w:rsidR="004841C7" w:rsidP="00AF10D4" w:rsidRDefault="004841C7" w14:paraId="0B6EC96F" w14:textId="77777777">
      <w:pPr>
        <w:pStyle w:val="EndnoteText"/>
        <w:numPr>
          <w:ilvl w:val="0"/>
          <w:numId w:val="24"/>
        </w:numPr>
        <w:spacing w:after="120"/>
        <w:ind w:left="454" w:hanging="454"/>
        <w:rPr>
          <w:sz w:val="24"/>
          <w:szCs w:val="24"/>
        </w:rPr>
      </w:pPr>
      <w:r w:rsidRPr="00EE0E4C">
        <w:rPr>
          <w:sz w:val="24"/>
          <w:szCs w:val="24"/>
        </w:rPr>
        <w:t>West Yorkshire and Harrogate Health and Care Partnership. (2020). Review Report: Tackling health inequalities for Black, Asian and minority ethnic communities and colleagues. Available at: https://www.wypartnership.co.uk/application/files/9216/1582/3153/bame-review-report.pdf [Accessed 7 Jul. 2023].</w:t>
      </w:r>
    </w:p>
    <w:p w:rsidRPr="00EE0E4C" w:rsidR="004841C7" w:rsidP="00AF10D4" w:rsidRDefault="004841C7" w14:paraId="34326C42" w14:textId="77777777">
      <w:pPr>
        <w:pStyle w:val="EndnoteText"/>
        <w:numPr>
          <w:ilvl w:val="0"/>
          <w:numId w:val="24"/>
        </w:numPr>
        <w:spacing w:after="120"/>
        <w:ind w:left="454" w:hanging="454"/>
        <w:rPr>
          <w:sz w:val="24"/>
          <w:szCs w:val="24"/>
        </w:rPr>
      </w:pPr>
      <w:r w:rsidRPr="00EE0E4C">
        <w:rPr>
          <w:sz w:val="24"/>
          <w:szCs w:val="24"/>
        </w:rPr>
        <w:t>NICE. (n.d.). Blackburn with Darwen Integrated Wellbeing Service. [online] Available at: https://www.nice.org.uk/sharedlearning/blackburn-with-darwen-integrated-wellbeing-service-what-we-have-working-better [Accessed 7 Jul. 2023].</w:t>
      </w:r>
    </w:p>
    <w:p w:rsidRPr="00EE0E4C" w:rsidR="004841C7" w:rsidP="00AF10D4" w:rsidRDefault="004841C7" w14:paraId="0D6FFE04" w14:textId="77777777">
      <w:pPr>
        <w:pStyle w:val="EndnoteText"/>
        <w:numPr>
          <w:ilvl w:val="0"/>
          <w:numId w:val="24"/>
        </w:numPr>
        <w:spacing w:after="120"/>
        <w:ind w:left="454" w:hanging="454"/>
        <w:rPr>
          <w:sz w:val="24"/>
          <w:szCs w:val="24"/>
        </w:rPr>
      </w:pPr>
      <w:r w:rsidRPr="00EE0E4C">
        <w:rPr>
          <w:sz w:val="24"/>
          <w:szCs w:val="24"/>
        </w:rPr>
        <w:t>The King’s Fund (2018). Reimagining community services Making the most of our assets. [online] Available at: https://www.kingsfund.org.uk/sites/default/files/2018-01/Reimagining_community_services_report.pdf [Accessed 7 Jul. 2023].</w:t>
      </w:r>
    </w:p>
    <w:p w:rsidRPr="00EE0E4C" w:rsidR="004841C7" w:rsidP="00AF10D4" w:rsidRDefault="004841C7" w14:paraId="0B41F84D" w14:textId="7B0A2253">
      <w:pPr>
        <w:pStyle w:val="EndnoteText"/>
        <w:numPr>
          <w:ilvl w:val="0"/>
          <w:numId w:val="24"/>
        </w:numPr>
        <w:spacing w:after="120"/>
        <w:ind w:left="454" w:hanging="454"/>
        <w:rPr>
          <w:sz w:val="24"/>
          <w:szCs w:val="24"/>
        </w:rPr>
      </w:pPr>
      <w:r w:rsidRPr="00EE0E4C">
        <w:rPr>
          <w:sz w:val="24"/>
          <w:szCs w:val="24"/>
        </w:rPr>
        <w:t>NICE (2016). Community engagement: Improving Health and Wellbeing and Reducing Health Inequalities | Guidance | NICE. [online] Nice.org.uk. Available at: https://www.nice.org.uk/guidance/ng44 [Accessed 7 Jul. 2023].</w:t>
      </w:r>
    </w:p>
    <w:p w:rsidR="000E28B9" w:rsidP="00706961" w:rsidRDefault="004841C7" w14:paraId="0A5D13BA" w14:textId="36F1D98E">
      <w:pPr>
        <w:pStyle w:val="Head12C2R"/>
        <w:framePr w:w="0" w:wrap="auto" w:yAlign="inline"/>
        <w:spacing w:after="240"/>
      </w:pPr>
      <w:bookmarkStart w:name="_Toc146539778" w:id="181"/>
      <w:r>
        <w:t xml:space="preserve">Annex </w:t>
      </w:r>
      <w:r w:rsidR="006C28CC">
        <w:t>G</w:t>
      </w:r>
      <w:r>
        <w:t xml:space="preserve"> - </w:t>
      </w:r>
      <w:r w:rsidR="009A3396">
        <w:t>Member List of Expert Panel</w:t>
      </w:r>
      <w:bookmarkEnd w:id="173"/>
      <w:bookmarkEnd w:id="174"/>
      <w:bookmarkEnd w:id="175"/>
      <w:bookmarkEnd w:id="176"/>
      <w:bookmarkEnd w:id="181"/>
    </w:p>
    <w:tbl>
      <w:tblPr>
        <w:tblStyle w:val="PlainTable1"/>
        <w:tblW w:w="5000" w:type="pct"/>
        <w:tblLook w:val="04A0" w:firstRow="1" w:lastRow="0" w:firstColumn="1" w:lastColumn="0" w:noHBand="0" w:noVBand="1"/>
      </w:tblPr>
      <w:tblGrid>
        <w:gridCol w:w="4664"/>
        <w:gridCol w:w="5247"/>
      </w:tblGrid>
      <w:tr w:rsidRPr="00706961" w:rsidR="002A45D9" w:rsidTr="002A45D9" w14:paraId="3E18B29C" w14:textId="7777777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3" w:type="pct"/>
          </w:tcPr>
          <w:p w:rsidRPr="00706961" w:rsidR="002A45D9" w:rsidP="00706961" w:rsidRDefault="002A45D9" w14:paraId="51FA5A5B" w14:textId="77777777">
            <w:pPr>
              <w:rPr>
                <w:rFonts w:cs="Arial"/>
                <w:szCs w:val="24"/>
              </w:rPr>
            </w:pPr>
            <w:r w:rsidRPr="00706961">
              <w:rPr>
                <w:rFonts w:cs="Arial"/>
                <w:szCs w:val="24"/>
              </w:rPr>
              <w:t>Expert panel member</w:t>
            </w:r>
          </w:p>
        </w:tc>
        <w:tc>
          <w:tcPr>
            <w:tcW w:w="2647" w:type="pct"/>
          </w:tcPr>
          <w:p w:rsidRPr="00706961" w:rsidR="002A45D9" w:rsidP="00706961" w:rsidRDefault="002A45D9" w14:paraId="0C6948C0" w14:textId="77777777">
            <w:pPr>
              <w:cnfStyle w:val="100000000000" w:firstRow="1" w:lastRow="0" w:firstColumn="0" w:lastColumn="0" w:oddVBand="0" w:evenVBand="0" w:oddHBand="0" w:evenHBand="0" w:firstRowFirstColumn="0" w:firstRowLastColumn="0" w:lastRowFirstColumn="0" w:lastRowLastColumn="0"/>
              <w:rPr>
                <w:rFonts w:cs="Arial"/>
                <w:szCs w:val="24"/>
              </w:rPr>
            </w:pPr>
            <w:r w:rsidRPr="00706961">
              <w:rPr>
                <w:rFonts w:cs="Arial"/>
                <w:szCs w:val="24"/>
              </w:rPr>
              <w:t>Organisation</w:t>
            </w:r>
          </w:p>
        </w:tc>
      </w:tr>
      <w:tr w:rsidRPr="00706961" w:rsidR="002A45D9" w:rsidTr="002A45D9" w14:paraId="629460C6"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3" w:type="pct"/>
          </w:tcPr>
          <w:p w:rsidRPr="00706961" w:rsidR="002A45D9" w:rsidP="00706961" w:rsidRDefault="002A45D9" w14:paraId="5488E1BD" w14:textId="77777777">
            <w:pPr>
              <w:rPr>
                <w:rFonts w:cs="Arial"/>
                <w:b w:val="0"/>
                <w:bCs w:val="0"/>
                <w:szCs w:val="24"/>
              </w:rPr>
            </w:pPr>
            <w:r w:rsidRPr="00706961">
              <w:rPr>
                <w:rFonts w:cs="Arial"/>
                <w:b w:val="0"/>
                <w:bCs w:val="0"/>
                <w:szCs w:val="24"/>
              </w:rPr>
              <w:t>Amanda</w:t>
            </w:r>
            <w:r>
              <w:rPr>
                <w:rFonts w:cs="Arial"/>
                <w:b w:val="0"/>
                <w:bCs w:val="0"/>
                <w:szCs w:val="24"/>
              </w:rPr>
              <w:t xml:space="preserve"> Williams</w:t>
            </w:r>
          </w:p>
        </w:tc>
        <w:tc>
          <w:tcPr>
            <w:tcW w:w="2647" w:type="pct"/>
          </w:tcPr>
          <w:p w:rsidRPr="00706961" w:rsidR="002A45D9" w:rsidP="00706961" w:rsidRDefault="002A45D9" w14:paraId="2248EC0D" w14:textId="5A9CE203">
            <w:pPr>
              <w:cnfStyle w:val="000000100000" w:firstRow="0" w:lastRow="0" w:firstColumn="0" w:lastColumn="0" w:oddVBand="0" w:evenVBand="0" w:oddHBand="1" w:evenHBand="0" w:firstRowFirstColumn="0" w:firstRowLastColumn="0" w:lastRowFirstColumn="0" w:lastRowLastColumn="0"/>
              <w:rPr>
                <w:rFonts w:cs="Arial"/>
                <w:szCs w:val="24"/>
              </w:rPr>
            </w:pPr>
            <w:r w:rsidRPr="00706961">
              <w:rPr>
                <w:rFonts w:cs="Arial"/>
                <w:szCs w:val="24"/>
              </w:rPr>
              <w:t>C</w:t>
            </w:r>
            <w:r w:rsidR="00F31BA7">
              <w:rPr>
                <w:rFonts w:cs="Arial"/>
                <w:szCs w:val="24"/>
              </w:rPr>
              <w:t xml:space="preserve">are </w:t>
            </w:r>
            <w:r w:rsidRPr="00706961">
              <w:rPr>
                <w:rFonts w:cs="Arial"/>
                <w:szCs w:val="24"/>
              </w:rPr>
              <w:t>Q</w:t>
            </w:r>
            <w:r w:rsidR="00F31BA7">
              <w:rPr>
                <w:rFonts w:cs="Arial"/>
                <w:szCs w:val="24"/>
              </w:rPr>
              <w:t xml:space="preserve">uality </w:t>
            </w:r>
            <w:r w:rsidRPr="00706961" w:rsidR="00F31BA7">
              <w:rPr>
                <w:rFonts w:cs="Arial"/>
                <w:szCs w:val="24"/>
              </w:rPr>
              <w:t>C</w:t>
            </w:r>
            <w:r w:rsidR="00F31BA7">
              <w:rPr>
                <w:rFonts w:cs="Arial"/>
                <w:szCs w:val="24"/>
              </w:rPr>
              <w:t>ommission</w:t>
            </w:r>
          </w:p>
        </w:tc>
      </w:tr>
      <w:tr w:rsidRPr="00706961" w:rsidR="002A45D9" w:rsidTr="002A45D9" w14:paraId="452A0AE5" w14:textId="77777777">
        <w:trPr>
          <w:trHeight w:val="20"/>
        </w:trPr>
        <w:tc>
          <w:tcPr>
            <w:cnfStyle w:val="001000000000" w:firstRow="0" w:lastRow="0" w:firstColumn="1" w:lastColumn="0" w:oddVBand="0" w:evenVBand="0" w:oddHBand="0" w:evenHBand="0" w:firstRowFirstColumn="0" w:firstRowLastColumn="0" w:lastRowFirstColumn="0" w:lastRowLastColumn="0"/>
            <w:tcW w:w="2353" w:type="pct"/>
          </w:tcPr>
          <w:p w:rsidRPr="00706961" w:rsidR="002A45D9" w:rsidP="00706961" w:rsidRDefault="002A45D9" w14:paraId="715172A7" w14:textId="77777777">
            <w:pPr>
              <w:rPr>
                <w:rFonts w:cs="Arial"/>
                <w:b w:val="0"/>
                <w:bCs w:val="0"/>
                <w:szCs w:val="24"/>
              </w:rPr>
            </w:pPr>
            <w:r w:rsidRPr="00706961">
              <w:rPr>
                <w:rFonts w:cs="Arial"/>
                <w:b w:val="0"/>
                <w:bCs w:val="0"/>
                <w:szCs w:val="24"/>
              </w:rPr>
              <w:t>Anna</w:t>
            </w:r>
            <w:r>
              <w:rPr>
                <w:rFonts w:cs="Arial"/>
                <w:b w:val="0"/>
                <w:bCs w:val="0"/>
                <w:szCs w:val="24"/>
              </w:rPr>
              <w:t xml:space="preserve"> Mathers</w:t>
            </w:r>
          </w:p>
        </w:tc>
        <w:tc>
          <w:tcPr>
            <w:tcW w:w="2647" w:type="pct"/>
          </w:tcPr>
          <w:p w:rsidRPr="00706961" w:rsidR="002A45D9" w:rsidP="00706961" w:rsidRDefault="002A45D9" w14:paraId="5CA871FE" w14:textId="7921706B">
            <w:pPr>
              <w:cnfStyle w:val="000000000000" w:firstRow="0" w:lastRow="0" w:firstColumn="0" w:lastColumn="0" w:oddVBand="0" w:evenVBand="0" w:oddHBand="0" w:evenHBand="0" w:firstRowFirstColumn="0" w:firstRowLastColumn="0" w:lastRowFirstColumn="0" w:lastRowLastColumn="0"/>
              <w:rPr>
                <w:rFonts w:cs="Arial"/>
                <w:szCs w:val="24"/>
              </w:rPr>
            </w:pPr>
            <w:r w:rsidRPr="00706961">
              <w:rPr>
                <w:rFonts w:cs="Arial"/>
                <w:szCs w:val="24"/>
              </w:rPr>
              <w:t>C</w:t>
            </w:r>
            <w:r w:rsidR="00464DCE">
              <w:rPr>
                <w:rFonts w:cs="Arial"/>
                <w:szCs w:val="24"/>
              </w:rPr>
              <w:t xml:space="preserve">are </w:t>
            </w:r>
            <w:r w:rsidRPr="00706961">
              <w:rPr>
                <w:rFonts w:cs="Arial"/>
                <w:szCs w:val="24"/>
              </w:rPr>
              <w:t>Q</w:t>
            </w:r>
            <w:r w:rsidR="00464DCE">
              <w:rPr>
                <w:rFonts w:cs="Arial"/>
                <w:szCs w:val="24"/>
              </w:rPr>
              <w:t xml:space="preserve">uality </w:t>
            </w:r>
            <w:r w:rsidRPr="00706961">
              <w:rPr>
                <w:rFonts w:cs="Arial"/>
                <w:szCs w:val="24"/>
              </w:rPr>
              <w:t>C</w:t>
            </w:r>
            <w:r w:rsidR="00464DCE">
              <w:rPr>
                <w:rFonts w:cs="Arial"/>
                <w:szCs w:val="24"/>
              </w:rPr>
              <w:t>ommission</w:t>
            </w:r>
          </w:p>
        </w:tc>
      </w:tr>
      <w:tr w:rsidRPr="00706961" w:rsidR="002A45D9" w:rsidTr="002A45D9" w14:paraId="68A76CC5"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3" w:type="pct"/>
          </w:tcPr>
          <w:p w:rsidRPr="00706961" w:rsidR="002A45D9" w:rsidP="00706961" w:rsidRDefault="002A45D9" w14:paraId="78F0C310" w14:textId="77777777">
            <w:pPr>
              <w:rPr>
                <w:rFonts w:cs="Arial"/>
                <w:b w:val="0"/>
                <w:bCs w:val="0"/>
                <w:szCs w:val="24"/>
              </w:rPr>
            </w:pPr>
            <w:r w:rsidRPr="00706961">
              <w:rPr>
                <w:rFonts w:cs="Arial"/>
                <w:b w:val="0"/>
                <w:bCs w:val="0"/>
                <w:szCs w:val="24"/>
              </w:rPr>
              <w:t>Helen</w:t>
            </w:r>
            <w:r>
              <w:rPr>
                <w:rFonts w:cs="Arial"/>
                <w:b w:val="0"/>
                <w:bCs w:val="0"/>
                <w:szCs w:val="24"/>
              </w:rPr>
              <w:t xml:space="preserve"> Ketcher</w:t>
            </w:r>
          </w:p>
        </w:tc>
        <w:tc>
          <w:tcPr>
            <w:tcW w:w="2647" w:type="pct"/>
          </w:tcPr>
          <w:p w:rsidRPr="00706961" w:rsidR="002A45D9" w:rsidP="00706961" w:rsidRDefault="00464DCE" w14:paraId="47782EC7" w14:textId="4F976A86">
            <w:pPr>
              <w:cnfStyle w:val="000000100000" w:firstRow="0" w:lastRow="0" w:firstColumn="0" w:lastColumn="0" w:oddVBand="0" w:evenVBand="0" w:oddHBand="1" w:evenHBand="0" w:firstRowFirstColumn="0" w:firstRowLastColumn="0" w:lastRowFirstColumn="0" w:lastRowLastColumn="0"/>
              <w:rPr>
                <w:rFonts w:cs="Arial"/>
                <w:szCs w:val="24"/>
              </w:rPr>
            </w:pPr>
            <w:r w:rsidRPr="00706961">
              <w:rPr>
                <w:rFonts w:cs="Arial"/>
                <w:szCs w:val="24"/>
              </w:rPr>
              <w:t>C</w:t>
            </w:r>
            <w:r>
              <w:rPr>
                <w:rFonts w:cs="Arial"/>
                <w:szCs w:val="24"/>
              </w:rPr>
              <w:t xml:space="preserve">are </w:t>
            </w:r>
            <w:r w:rsidRPr="00706961">
              <w:rPr>
                <w:rFonts w:cs="Arial"/>
                <w:szCs w:val="24"/>
              </w:rPr>
              <w:t>Q</w:t>
            </w:r>
            <w:r>
              <w:rPr>
                <w:rFonts w:cs="Arial"/>
                <w:szCs w:val="24"/>
              </w:rPr>
              <w:t xml:space="preserve">uality </w:t>
            </w:r>
            <w:r w:rsidRPr="00706961">
              <w:rPr>
                <w:rFonts w:cs="Arial"/>
                <w:szCs w:val="24"/>
              </w:rPr>
              <w:t>C</w:t>
            </w:r>
            <w:r>
              <w:rPr>
                <w:rFonts w:cs="Arial"/>
                <w:szCs w:val="24"/>
              </w:rPr>
              <w:t>ommission</w:t>
            </w:r>
          </w:p>
        </w:tc>
      </w:tr>
      <w:tr w:rsidRPr="00706961" w:rsidR="002A45D9" w:rsidTr="002A45D9" w14:paraId="74773321" w14:textId="77777777">
        <w:trPr>
          <w:trHeight w:val="20"/>
        </w:trPr>
        <w:tc>
          <w:tcPr>
            <w:cnfStyle w:val="001000000000" w:firstRow="0" w:lastRow="0" w:firstColumn="1" w:lastColumn="0" w:oddVBand="0" w:evenVBand="0" w:oddHBand="0" w:evenHBand="0" w:firstRowFirstColumn="0" w:firstRowLastColumn="0" w:lastRowFirstColumn="0" w:lastRowLastColumn="0"/>
            <w:tcW w:w="2353" w:type="pct"/>
          </w:tcPr>
          <w:p w:rsidRPr="00706961" w:rsidR="002A45D9" w:rsidP="00706961" w:rsidRDefault="002A45D9" w14:paraId="7A04B1A8" w14:textId="77777777">
            <w:pPr>
              <w:rPr>
                <w:rFonts w:cs="Arial"/>
                <w:b w:val="0"/>
                <w:bCs w:val="0"/>
                <w:szCs w:val="24"/>
              </w:rPr>
            </w:pPr>
            <w:r w:rsidRPr="00706961">
              <w:rPr>
                <w:rFonts w:cs="Arial"/>
                <w:b w:val="0"/>
                <w:bCs w:val="0"/>
                <w:szCs w:val="24"/>
              </w:rPr>
              <w:t>Helen</w:t>
            </w:r>
            <w:r>
              <w:rPr>
                <w:rFonts w:cs="Arial"/>
                <w:b w:val="0"/>
                <w:bCs w:val="0"/>
                <w:szCs w:val="24"/>
              </w:rPr>
              <w:t xml:space="preserve"> Rawlings</w:t>
            </w:r>
          </w:p>
        </w:tc>
        <w:tc>
          <w:tcPr>
            <w:tcW w:w="2647" w:type="pct"/>
          </w:tcPr>
          <w:p w:rsidRPr="00706961" w:rsidR="002A45D9" w:rsidP="00706961" w:rsidRDefault="00464DCE" w14:paraId="2120700C" w14:textId="7EDE83EC">
            <w:pPr>
              <w:cnfStyle w:val="000000000000" w:firstRow="0" w:lastRow="0" w:firstColumn="0" w:lastColumn="0" w:oddVBand="0" w:evenVBand="0" w:oddHBand="0" w:evenHBand="0" w:firstRowFirstColumn="0" w:firstRowLastColumn="0" w:lastRowFirstColumn="0" w:lastRowLastColumn="0"/>
              <w:rPr>
                <w:rFonts w:cs="Arial"/>
                <w:szCs w:val="24"/>
              </w:rPr>
            </w:pPr>
            <w:r w:rsidRPr="00706961">
              <w:rPr>
                <w:rFonts w:cs="Arial"/>
                <w:szCs w:val="24"/>
              </w:rPr>
              <w:t>C</w:t>
            </w:r>
            <w:r>
              <w:rPr>
                <w:rFonts w:cs="Arial"/>
                <w:szCs w:val="24"/>
              </w:rPr>
              <w:t xml:space="preserve">are </w:t>
            </w:r>
            <w:r w:rsidRPr="00706961">
              <w:rPr>
                <w:rFonts w:cs="Arial"/>
                <w:szCs w:val="24"/>
              </w:rPr>
              <w:t>Q</w:t>
            </w:r>
            <w:r>
              <w:rPr>
                <w:rFonts w:cs="Arial"/>
                <w:szCs w:val="24"/>
              </w:rPr>
              <w:t xml:space="preserve">uality </w:t>
            </w:r>
            <w:r w:rsidRPr="00706961">
              <w:rPr>
                <w:rFonts w:cs="Arial"/>
                <w:szCs w:val="24"/>
              </w:rPr>
              <w:t>C</w:t>
            </w:r>
            <w:r>
              <w:rPr>
                <w:rFonts w:cs="Arial"/>
                <w:szCs w:val="24"/>
              </w:rPr>
              <w:t>ommission</w:t>
            </w:r>
          </w:p>
        </w:tc>
      </w:tr>
      <w:tr w:rsidRPr="00706961" w:rsidR="002A45D9" w:rsidTr="002A45D9" w14:paraId="4065E371"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3" w:type="pct"/>
          </w:tcPr>
          <w:p w:rsidRPr="00706961" w:rsidR="002A45D9" w:rsidP="00706961" w:rsidRDefault="002A45D9" w14:paraId="1BF170BA" w14:textId="77777777">
            <w:pPr>
              <w:rPr>
                <w:rFonts w:cs="Arial"/>
                <w:b w:val="0"/>
                <w:bCs w:val="0"/>
                <w:szCs w:val="24"/>
              </w:rPr>
            </w:pPr>
            <w:r w:rsidRPr="00706961">
              <w:rPr>
                <w:rFonts w:cs="Arial"/>
                <w:b w:val="0"/>
                <w:bCs w:val="0"/>
                <w:szCs w:val="24"/>
              </w:rPr>
              <w:t>Jillian</w:t>
            </w:r>
            <w:r>
              <w:rPr>
                <w:rFonts w:cs="Arial"/>
                <w:b w:val="0"/>
                <w:bCs w:val="0"/>
                <w:szCs w:val="24"/>
              </w:rPr>
              <w:t xml:space="preserve"> Mardsen</w:t>
            </w:r>
          </w:p>
        </w:tc>
        <w:tc>
          <w:tcPr>
            <w:tcW w:w="2647" w:type="pct"/>
          </w:tcPr>
          <w:p w:rsidRPr="00706961" w:rsidR="002A45D9" w:rsidP="00706961" w:rsidRDefault="00464DCE" w14:paraId="187E4D3D" w14:textId="3977EE7E">
            <w:pPr>
              <w:cnfStyle w:val="000000100000" w:firstRow="0" w:lastRow="0" w:firstColumn="0" w:lastColumn="0" w:oddVBand="0" w:evenVBand="0" w:oddHBand="1" w:evenHBand="0" w:firstRowFirstColumn="0" w:firstRowLastColumn="0" w:lastRowFirstColumn="0" w:lastRowLastColumn="0"/>
              <w:rPr>
                <w:rFonts w:cs="Arial"/>
                <w:szCs w:val="24"/>
              </w:rPr>
            </w:pPr>
            <w:r w:rsidRPr="00706961">
              <w:rPr>
                <w:rFonts w:cs="Arial"/>
                <w:szCs w:val="24"/>
              </w:rPr>
              <w:t>C</w:t>
            </w:r>
            <w:r>
              <w:rPr>
                <w:rFonts w:cs="Arial"/>
                <w:szCs w:val="24"/>
              </w:rPr>
              <w:t xml:space="preserve">are </w:t>
            </w:r>
            <w:r w:rsidRPr="00706961">
              <w:rPr>
                <w:rFonts w:cs="Arial"/>
                <w:szCs w:val="24"/>
              </w:rPr>
              <w:t>Q</w:t>
            </w:r>
            <w:r>
              <w:rPr>
                <w:rFonts w:cs="Arial"/>
                <w:szCs w:val="24"/>
              </w:rPr>
              <w:t xml:space="preserve">uality </w:t>
            </w:r>
            <w:r w:rsidRPr="00706961">
              <w:rPr>
                <w:rFonts w:cs="Arial"/>
                <w:szCs w:val="24"/>
              </w:rPr>
              <w:t>C</w:t>
            </w:r>
            <w:r>
              <w:rPr>
                <w:rFonts w:cs="Arial"/>
                <w:szCs w:val="24"/>
              </w:rPr>
              <w:t>ommission</w:t>
            </w:r>
          </w:p>
        </w:tc>
      </w:tr>
      <w:tr w:rsidRPr="00706961" w:rsidR="002A45D9" w:rsidTr="002A45D9" w14:paraId="795549AD" w14:textId="77777777">
        <w:trPr>
          <w:trHeight w:val="20"/>
        </w:trPr>
        <w:tc>
          <w:tcPr>
            <w:cnfStyle w:val="001000000000" w:firstRow="0" w:lastRow="0" w:firstColumn="1" w:lastColumn="0" w:oddVBand="0" w:evenVBand="0" w:oddHBand="0" w:evenHBand="0" w:firstRowFirstColumn="0" w:firstRowLastColumn="0" w:lastRowFirstColumn="0" w:lastRowLastColumn="0"/>
            <w:tcW w:w="2353" w:type="pct"/>
          </w:tcPr>
          <w:p w:rsidRPr="00706961" w:rsidR="002A45D9" w:rsidP="00706961" w:rsidRDefault="002A45D9" w14:paraId="1FD34E6E" w14:textId="77777777">
            <w:pPr>
              <w:rPr>
                <w:rFonts w:cs="Arial"/>
                <w:b w:val="0"/>
                <w:bCs w:val="0"/>
                <w:szCs w:val="24"/>
              </w:rPr>
            </w:pPr>
            <w:r w:rsidRPr="00706961">
              <w:rPr>
                <w:rFonts w:cs="Arial"/>
                <w:b w:val="0"/>
                <w:bCs w:val="0"/>
                <w:szCs w:val="24"/>
              </w:rPr>
              <w:t>Karmon</w:t>
            </w:r>
            <w:r>
              <w:rPr>
                <w:rFonts w:cs="Arial"/>
                <w:b w:val="0"/>
                <w:bCs w:val="0"/>
                <w:szCs w:val="24"/>
              </w:rPr>
              <w:t xml:space="preserve"> Hawley</w:t>
            </w:r>
          </w:p>
        </w:tc>
        <w:tc>
          <w:tcPr>
            <w:tcW w:w="2647" w:type="pct"/>
          </w:tcPr>
          <w:p w:rsidRPr="00706961" w:rsidR="002A45D9" w:rsidP="00706961" w:rsidRDefault="00464DCE" w14:paraId="0874866A" w14:textId="4905380E">
            <w:pPr>
              <w:cnfStyle w:val="000000000000" w:firstRow="0" w:lastRow="0" w:firstColumn="0" w:lastColumn="0" w:oddVBand="0" w:evenVBand="0" w:oddHBand="0" w:evenHBand="0" w:firstRowFirstColumn="0" w:firstRowLastColumn="0" w:lastRowFirstColumn="0" w:lastRowLastColumn="0"/>
              <w:rPr>
                <w:rFonts w:cs="Arial"/>
                <w:szCs w:val="24"/>
              </w:rPr>
            </w:pPr>
            <w:r w:rsidRPr="00706961">
              <w:rPr>
                <w:rFonts w:cs="Arial"/>
                <w:szCs w:val="24"/>
              </w:rPr>
              <w:t>C</w:t>
            </w:r>
            <w:r>
              <w:rPr>
                <w:rFonts w:cs="Arial"/>
                <w:szCs w:val="24"/>
              </w:rPr>
              <w:t xml:space="preserve">are </w:t>
            </w:r>
            <w:r w:rsidRPr="00706961">
              <w:rPr>
                <w:rFonts w:cs="Arial"/>
                <w:szCs w:val="24"/>
              </w:rPr>
              <w:t>Q</w:t>
            </w:r>
            <w:r>
              <w:rPr>
                <w:rFonts w:cs="Arial"/>
                <w:szCs w:val="24"/>
              </w:rPr>
              <w:t xml:space="preserve">uality </w:t>
            </w:r>
            <w:r w:rsidRPr="00706961">
              <w:rPr>
                <w:rFonts w:cs="Arial"/>
                <w:szCs w:val="24"/>
              </w:rPr>
              <w:t>C</w:t>
            </w:r>
            <w:r>
              <w:rPr>
                <w:rFonts w:cs="Arial"/>
                <w:szCs w:val="24"/>
              </w:rPr>
              <w:t>ommission</w:t>
            </w:r>
          </w:p>
        </w:tc>
      </w:tr>
      <w:tr w:rsidRPr="00706961" w:rsidR="002A45D9" w:rsidTr="002A45D9" w14:paraId="2555FEAD"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3" w:type="pct"/>
          </w:tcPr>
          <w:p w:rsidRPr="00706961" w:rsidR="002A45D9" w:rsidP="00706961" w:rsidRDefault="002A45D9" w14:paraId="57F86264" w14:textId="77777777">
            <w:pPr>
              <w:rPr>
                <w:rFonts w:cs="Arial"/>
                <w:b w:val="0"/>
                <w:bCs w:val="0"/>
                <w:szCs w:val="24"/>
              </w:rPr>
            </w:pPr>
            <w:r w:rsidRPr="00706961">
              <w:rPr>
                <w:rFonts w:cs="Arial"/>
                <w:b w:val="0"/>
                <w:bCs w:val="0"/>
                <w:szCs w:val="24"/>
              </w:rPr>
              <w:t>Liadan</w:t>
            </w:r>
            <w:r>
              <w:rPr>
                <w:rFonts w:cs="Arial"/>
                <w:b w:val="0"/>
                <w:bCs w:val="0"/>
                <w:szCs w:val="24"/>
              </w:rPr>
              <w:t xml:space="preserve"> Buggy</w:t>
            </w:r>
          </w:p>
        </w:tc>
        <w:tc>
          <w:tcPr>
            <w:tcW w:w="2647" w:type="pct"/>
          </w:tcPr>
          <w:p w:rsidRPr="00706961" w:rsidR="002A45D9" w:rsidP="00706961" w:rsidRDefault="00464DCE" w14:paraId="6EE36992" w14:textId="68445A95">
            <w:pPr>
              <w:cnfStyle w:val="000000100000" w:firstRow="0" w:lastRow="0" w:firstColumn="0" w:lastColumn="0" w:oddVBand="0" w:evenVBand="0" w:oddHBand="1" w:evenHBand="0" w:firstRowFirstColumn="0" w:firstRowLastColumn="0" w:lastRowFirstColumn="0" w:lastRowLastColumn="0"/>
              <w:rPr>
                <w:rFonts w:cs="Arial"/>
                <w:szCs w:val="24"/>
              </w:rPr>
            </w:pPr>
            <w:r w:rsidRPr="00706961">
              <w:rPr>
                <w:rFonts w:cs="Arial"/>
                <w:szCs w:val="24"/>
              </w:rPr>
              <w:t>C</w:t>
            </w:r>
            <w:r>
              <w:rPr>
                <w:rFonts w:cs="Arial"/>
                <w:szCs w:val="24"/>
              </w:rPr>
              <w:t xml:space="preserve">are </w:t>
            </w:r>
            <w:r w:rsidRPr="00706961">
              <w:rPr>
                <w:rFonts w:cs="Arial"/>
                <w:szCs w:val="24"/>
              </w:rPr>
              <w:t>Q</w:t>
            </w:r>
            <w:r>
              <w:rPr>
                <w:rFonts w:cs="Arial"/>
                <w:szCs w:val="24"/>
              </w:rPr>
              <w:t xml:space="preserve">uality </w:t>
            </w:r>
            <w:r w:rsidRPr="00706961">
              <w:rPr>
                <w:rFonts w:cs="Arial"/>
                <w:szCs w:val="24"/>
              </w:rPr>
              <w:t>C</w:t>
            </w:r>
            <w:r>
              <w:rPr>
                <w:rFonts w:cs="Arial"/>
                <w:szCs w:val="24"/>
              </w:rPr>
              <w:t>ommission</w:t>
            </w:r>
          </w:p>
        </w:tc>
      </w:tr>
      <w:tr w:rsidRPr="00706961" w:rsidR="002A45D9" w:rsidTr="002A45D9" w14:paraId="6246FA43" w14:textId="77777777">
        <w:trPr>
          <w:trHeight w:val="20"/>
        </w:trPr>
        <w:tc>
          <w:tcPr>
            <w:cnfStyle w:val="001000000000" w:firstRow="0" w:lastRow="0" w:firstColumn="1" w:lastColumn="0" w:oddVBand="0" w:evenVBand="0" w:oddHBand="0" w:evenHBand="0" w:firstRowFirstColumn="0" w:firstRowLastColumn="0" w:lastRowFirstColumn="0" w:lastRowLastColumn="0"/>
            <w:tcW w:w="2353" w:type="pct"/>
          </w:tcPr>
          <w:p w:rsidRPr="00706961" w:rsidR="002A45D9" w:rsidP="00706961" w:rsidRDefault="002A45D9" w14:paraId="6F17F768" w14:textId="77777777">
            <w:pPr>
              <w:rPr>
                <w:rFonts w:cs="Arial"/>
                <w:b w:val="0"/>
                <w:bCs w:val="0"/>
                <w:szCs w:val="24"/>
              </w:rPr>
            </w:pPr>
            <w:r w:rsidRPr="00706961">
              <w:rPr>
                <w:rFonts w:cs="Arial"/>
                <w:b w:val="0"/>
                <w:bCs w:val="0"/>
                <w:szCs w:val="24"/>
              </w:rPr>
              <w:t>Lucy</w:t>
            </w:r>
            <w:r>
              <w:rPr>
                <w:rFonts w:cs="Arial"/>
                <w:b w:val="0"/>
                <w:bCs w:val="0"/>
                <w:szCs w:val="24"/>
              </w:rPr>
              <w:t xml:space="preserve"> Wilkinson</w:t>
            </w:r>
          </w:p>
        </w:tc>
        <w:tc>
          <w:tcPr>
            <w:tcW w:w="2647" w:type="pct"/>
          </w:tcPr>
          <w:p w:rsidRPr="00706961" w:rsidR="002A45D9" w:rsidP="00706961" w:rsidRDefault="00464DCE" w14:paraId="057B3258" w14:textId="2153FCBE">
            <w:pPr>
              <w:cnfStyle w:val="000000000000" w:firstRow="0" w:lastRow="0" w:firstColumn="0" w:lastColumn="0" w:oddVBand="0" w:evenVBand="0" w:oddHBand="0" w:evenHBand="0" w:firstRowFirstColumn="0" w:firstRowLastColumn="0" w:lastRowFirstColumn="0" w:lastRowLastColumn="0"/>
              <w:rPr>
                <w:rFonts w:cs="Arial"/>
                <w:szCs w:val="24"/>
              </w:rPr>
            </w:pPr>
            <w:r w:rsidRPr="00706961">
              <w:rPr>
                <w:rFonts w:cs="Arial"/>
                <w:szCs w:val="24"/>
              </w:rPr>
              <w:t>C</w:t>
            </w:r>
            <w:r>
              <w:rPr>
                <w:rFonts w:cs="Arial"/>
                <w:szCs w:val="24"/>
              </w:rPr>
              <w:t xml:space="preserve">are </w:t>
            </w:r>
            <w:r w:rsidRPr="00706961">
              <w:rPr>
                <w:rFonts w:cs="Arial"/>
                <w:szCs w:val="24"/>
              </w:rPr>
              <w:t>Q</w:t>
            </w:r>
            <w:r>
              <w:rPr>
                <w:rFonts w:cs="Arial"/>
                <w:szCs w:val="24"/>
              </w:rPr>
              <w:t xml:space="preserve">uality </w:t>
            </w:r>
            <w:r w:rsidRPr="00706961">
              <w:rPr>
                <w:rFonts w:cs="Arial"/>
                <w:szCs w:val="24"/>
              </w:rPr>
              <w:t>C</w:t>
            </w:r>
            <w:r>
              <w:rPr>
                <w:rFonts w:cs="Arial"/>
                <w:szCs w:val="24"/>
              </w:rPr>
              <w:t>ommission</w:t>
            </w:r>
          </w:p>
        </w:tc>
      </w:tr>
      <w:tr w:rsidRPr="00706961" w:rsidR="002A45D9" w:rsidTr="002A45D9" w14:paraId="64B75AEB"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3" w:type="pct"/>
          </w:tcPr>
          <w:p w:rsidRPr="00706961" w:rsidR="002A45D9" w:rsidP="00706961" w:rsidRDefault="002A45D9" w14:paraId="57FBC131" w14:textId="77777777">
            <w:pPr>
              <w:rPr>
                <w:rFonts w:cs="Arial"/>
                <w:b w:val="0"/>
                <w:bCs w:val="0"/>
                <w:szCs w:val="24"/>
              </w:rPr>
            </w:pPr>
            <w:r w:rsidRPr="00706961">
              <w:rPr>
                <w:rFonts w:cs="Arial"/>
                <w:b w:val="0"/>
                <w:bCs w:val="0"/>
                <w:szCs w:val="24"/>
              </w:rPr>
              <w:t>Fazilet Hadi</w:t>
            </w:r>
          </w:p>
        </w:tc>
        <w:tc>
          <w:tcPr>
            <w:tcW w:w="2647" w:type="pct"/>
          </w:tcPr>
          <w:p w:rsidRPr="00706961" w:rsidR="002A45D9" w:rsidP="00706961" w:rsidRDefault="002A45D9" w14:paraId="702F615F" w14:textId="77777777">
            <w:pPr>
              <w:cnfStyle w:val="000000100000" w:firstRow="0" w:lastRow="0" w:firstColumn="0" w:lastColumn="0" w:oddVBand="0" w:evenVBand="0" w:oddHBand="1" w:evenHBand="0" w:firstRowFirstColumn="0" w:firstRowLastColumn="0" w:lastRowFirstColumn="0" w:lastRowLastColumn="0"/>
              <w:rPr>
                <w:rFonts w:cs="Arial"/>
                <w:szCs w:val="24"/>
              </w:rPr>
            </w:pPr>
            <w:r w:rsidRPr="002A45D9">
              <w:rPr>
                <w:rFonts w:cs="Arial"/>
                <w:szCs w:val="24"/>
              </w:rPr>
              <w:t>Disability Rights UK</w:t>
            </w:r>
          </w:p>
        </w:tc>
      </w:tr>
      <w:tr w:rsidRPr="00706961" w:rsidR="002A45D9" w:rsidTr="002A45D9" w14:paraId="3F29D0D6" w14:textId="77777777">
        <w:trPr>
          <w:trHeight w:val="20"/>
        </w:trPr>
        <w:tc>
          <w:tcPr>
            <w:cnfStyle w:val="001000000000" w:firstRow="0" w:lastRow="0" w:firstColumn="1" w:lastColumn="0" w:oddVBand="0" w:evenVBand="0" w:oddHBand="0" w:evenHBand="0" w:firstRowFirstColumn="0" w:firstRowLastColumn="0" w:lastRowFirstColumn="0" w:lastRowLastColumn="0"/>
            <w:tcW w:w="2353" w:type="pct"/>
          </w:tcPr>
          <w:p w:rsidRPr="00706961" w:rsidR="002A45D9" w:rsidP="00706961" w:rsidRDefault="002A45D9" w14:paraId="6927C84E" w14:textId="77777777">
            <w:pPr>
              <w:rPr>
                <w:rFonts w:cs="Arial"/>
                <w:b w:val="0"/>
                <w:bCs w:val="0"/>
                <w:szCs w:val="24"/>
              </w:rPr>
            </w:pPr>
            <w:r w:rsidRPr="00706961">
              <w:rPr>
                <w:rFonts w:cs="Arial"/>
                <w:b w:val="0"/>
                <w:bCs w:val="0"/>
                <w:szCs w:val="24"/>
              </w:rPr>
              <w:t>Gwen Nightingale</w:t>
            </w:r>
          </w:p>
        </w:tc>
        <w:tc>
          <w:tcPr>
            <w:tcW w:w="2647" w:type="pct"/>
          </w:tcPr>
          <w:p w:rsidRPr="00706961" w:rsidR="002A45D9" w:rsidP="00706961" w:rsidRDefault="002A45D9" w14:paraId="363C377F" w14:textId="77777777">
            <w:pPr>
              <w:cnfStyle w:val="000000000000" w:firstRow="0" w:lastRow="0" w:firstColumn="0" w:lastColumn="0" w:oddVBand="0" w:evenVBand="0" w:oddHBand="0" w:evenHBand="0" w:firstRowFirstColumn="0" w:firstRowLastColumn="0" w:lastRowFirstColumn="0" w:lastRowLastColumn="0"/>
              <w:rPr>
                <w:rFonts w:cs="Arial"/>
                <w:szCs w:val="24"/>
              </w:rPr>
            </w:pPr>
            <w:r w:rsidRPr="00706961">
              <w:rPr>
                <w:rFonts w:cs="Arial"/>
                <w:szCs w:val="24"/>
              </w:rPr>
              <w:t>Health Foundation</w:t>
            </w:r>
          </w:p>
        </w:tc>
      </w:tr>
      <w:tr w:rsidRPr="00706961" w:rsidR="002A45D9" w:rsidTr="002A45D9" w14:paraId="0A651BA3"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3" w:type="pct"/>
          </w:tcPr>
          <w:p w:rsidRPr="00706961" w:rsidR="002A45D9" w:rsidP="00706961" w:rsidRDefault="002A45D9" w14:paraId="423D8971" w14:textId="77777777">
            <w:pPr>
              <w:rPr>
                <w:rFonts w:cs="Arial"/>
                <w:b w:val="0"/>
                <w:bCs w:val="0"/>
                <w:szCs w:val="24"/>
              </w:rPr>
            </w:pPr>
            <w:r w:rsidRPr="00706961">
              <w:rPr>
                <w:rFonts w:cs="Arial"/>
                <w:b w:val="0"/>
                <w:bCs w:val="0"/>
                <w:szCs w:val="24"/>
              </w:rPr>
              <w:t>Louise Marshall</w:t>
            </w:r>
          </w:p>
        </w:tc>
        <w:tc>
          <w:tcPr>
            <w:tcW w:w="2647" w:type="pct"/>
          </w:tcPr>
          <w:p w:rsidRPr="00706961" w:rsidR="002A45D9" w:rsidP="00706961" w:rsidRDefault="002A45D9" w14:paraId="4DCE9CE0" w14:textId="77777777">
            <w:pPr>
              <w:cnfStyle w:val="000000100000" w:firstRow="0" w:lastRow="0" w:firstColumn="0" w:lastColumn="0" w:oddVBand="0" w:evenVBand="0" w:oddHBand="1" w:evenHBand="0" w:firstRowFirstColumn="0" w:firstRowLastColumn="0" w:lastRowFirstColumn="0" w:lastRowLastColumn="0"/>
              <w:rPr>
                <w:rFonts w:cs="Arial"/>
                <w:szCs w:val="24"/>
              </w:rPr>
            </w:pPr>
            <w:r w:rsidRPr="00706961">
              <w:rPr>
                <w:rFonts w:cs="Arial"/>
                <w:szCs w:val="24"/>
              </w:rPr>
              <w:t>Health Foundation</w:t>
            </w:r>
          </w:p>
        </w:tc>
      </w:tr>
      <w:tr w:rsidRPr="00706961" w:rsidR="002A45D9" w:rsidTr="002A45D9" w14:paraId="7D3523A2" w14:textId="77777777">
        <w:trPr>
          <w:trHeight w:val="20"/>
        </w:trPr>
        <w:tc>
          <w:tcPr>
            <w:cnfStyle w:val="001000000000" w:firstRow="0" w:lastRow="0" w:firstColumn="1" w:lastColumn="0" w:oddVBand="0" w:evenVBand="0" w:oddHBand="0" w:evenHBand="0" w:firstRowFirstColumn="0" w:firstRowLastColumn="0" w:lastRowFirstColumn="0" w:lastRowLastColumn="0"/>
            <w:tcW w:w="2353" w:type="pct"/>
          </w:tcPr>
          <w:p w:rsidRPr="00706961" w:rsidR="002A45D9" w:rsidP="00706961" w:rsidRDefault="002A45D9" w14:paraId="63E20305" w14:textId="77777777">
            <w:pPr>
              <w:rPr>
                <w:rFonts w:cs="Arial"/>
                <w:b w:val="0"/>
                <w:bCs w:val="0"/>
                <w:szCs w:val="24"/>
              </w:rPr>
            </w:pPr>
            <w:r w:rsidRPr="00706961">
              <w:rPr>
                <w:rFonts w:cs="Arial"/>
                <w:b w:val="0"/>
                <w:bCs w:val="0"/>
                <w:szCs w:val="24"/>
              </w:rPr>
              <w:t>David Buck</w:t>
            </w:r>
          </w:p>
        </w:tc>
        <w:tc>
          <w:tcPr>
            <w:tcW w:w="2647" w:type="pct"/>
          </w:tcPr>
          <w:p w:rsidRPr="00706961" w:rsidR="002A45D9" w:rsidP="00706961" w:rsidRDefault="002A45D9" w14:paraId="709AC99B" w14:textId="77777777">
            <w:pPr>
              <w:cnfStyle w:val="000000000000" w:firstRow="0" w:lastRow="0" w:firstColumn="0" w:lastColumn="0" w:oddVBand="0" w:evenVBand="0" w:oddHBand="0" w:evenHBand="0" w:firstRowFirstColumn="0" w:firstRowLastColumn="0" w:lastRowFirstColumn="0" w:lastRowLastColumn="0"/>
              <w:rPr>
                <w:rFonts w:cs="Arial"/>
                <w:szCs w:val="24"/>
              </w:rPr>
            </w:pPr>
            <w:r w:rsidRPr="00706961">
              <w:rPr>
                <w:rFonts w:cs="Arial"/>
                <w:szCs w:val="24"/>
              </w:rPr>
              <w:t>Kings Fund</w:t>
            </w:r>
          </w:p>
        </w:tc>
      </w:tr>
      <w:tr w:rsidRPr="00706961" w:rsidR="002A45D9" w:rsidTr="002A45D9" w14:paraId="02338F92"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3" w:type="pct"/>
          </w:tcPr>
          <w:p w:rsidRPr="00706961" w:rsidR="002A45D9" w:rsidP="00706961" w:rsidRDefault="002A45D9" w14:paraId="7AA50671" w14:textId="77777777">
            <w:pPr>
              <w:rPr>
                <w:rFonts w:cs="Arial"/>
                <w:b w:val="0"/>
                <w:bCs w:val="0"/>
                <w:szCs w:val="24"/>
              </w:rPr>
            </w:pPr>
            <w:r w:rsidRPr="00706961">
              <w:rPr>
                <w:rFonts w:cs="Arial"/>
                <w:b w:val="0"/>
                <w:bCs w:val="0"/>
                <w:szCs w:val="24"/>
              </w:rPr>
              <w:t>Sam Rodger</w:t>
            </w:r>
          </w:p>
        </w:tc>
        <w:tc>
          <w:tcPr>
            <w:tcW w:w="2647" w:type="pct"/>
          </w:tcPr>
          <w:p w:rsidRPr="00706961" w:rsidR="002A45D9" w:rsidP="00706961" w:rsidRDefault="002A45D9" w14:paraId="27F5225A" w14:textId="77777777">
            <w:pPr>
              <w:cnfStyle w:val="000000100000" w:firstRow="0" w:lastRow="0" w:firstColumn="0" w:lastColumn="0" w:oddVBand="0" w:evenVBand="0" w:oddHBand="1" w:evenHBand="0" w:firstRowFirstColumn="0" w:firstRowLastColumn="0" w:lastRowFirstColumn="0" w:lastRowLastColumn="0"/>
              <w:rPr>
                <w:rFonts w:cs="Arial"/>
                <w:szCs w:val="24"/>
              </w:rPr>
            </w:pPr>
            <w:r w:rsidRPr="002A45D9">
              <w:rPr>
                <w:rFonts w:cs="Arial"/>
                <w:szCs w:val="24"/>
              </w:rPr>
              <w:t>NHS - Race and Health Observatory</w:t>
            </w:r>
          </w:p>
        </w:tc>
      </w:tr>
      <w:tr w:rsidRPr="00706961" w:rsidR="002A45D9" w:rsidTr="002A45D9" w14:paraId="04DBF411" w14:textId="77777777">
        <w:trPr>
          <w:trHeight w:val="20"/>
        </w:trPr>
        <w:tc>
          <w:tcPr>
            <w:cnfStyle w:val="001000000000" w:firstRow="0" w:lastRow="0" w:firstColumn="1" w:lastColumn="0" w:oddVBand="0" w:evenVBand="0" w:oddHBand="0" w:evenHBand="0" w:firstRowFirstColumn="0" w:firstRowLastColumn="0" w:lastRowFirstColumn="0" w:lastRowLastColumn="0"/>
            <w:tcW w:w="2353" w:type="pct"/>
          </w:tcPr>
          <w:p w:rsidRPr="00706961" w:rsidR="002A45D9" w:rsidP="00706961" w:rsidRDefault="002A45D9" w14:paraId="0F178259" w14:textId="77777777">
            <w:pPr>
              <w:rPr>
                <w:rFonts w:cs="Arial"/>
                <w:b w:val="0"/>
                <w:bCs w:val="0"/>
                <w:szCs w:val="24"/>
              </w:rPr>
            </w:pPr>
            <w:r w:rsidRPr="00706961">
              <w:rPr>
                <w:rFonts w:cs="Arial"/>
                <w:b w:val="0"/>
                <w:bCs w:val="0"/>
                <w:szCs w:val="24"/>
              </w:rPr>
              <w:t>Ranjit Senghera</w:t>
            </w:r>
          </w:p>
        </w:tc>
        <w:tc>
          <w:tcPr>
            <w:tcW w:w="2647" w:type="pct"/>
          </w:tcPr>
          <w:p w:rsidRPr="00706961" w:rsidR="002A45D9" w:rsidP="00706961" w:rsidRDefault="002A45D9" w14:paraId="13F04D8E" w14:textId="77777777">
            <w:pPr>
              <w:cnfStyle w:val="000000000000" w:firstRow="0" w:lastRow="0" w:firstColumn="0" w:lastColumn="0" w:oddVBand="0" w:evenVBand="0" w:oddHBand="0" w:evenHBand="0" w:firstRowFirstColumn="0" w:firstRowLastColumn="0" w:lastRowFirstColumn="0" w:lastRowLastColumn="0"/>
              <w:rPr>
                <w:rFonts w:cs="Arial"/>
                <w:szCs w:val="24"/>
              </w:rPr>
            </w:pPr>
            <w:r w:rsidRPr="00706961">
              <w:rPr>
                <w:rFonts w:cs="Arial"/>
                <w:szCs w:val="24"/>
              </w:rPr>
              <w:t>NHS England</w:t>
            </w:r>
          </w:p>
        </w:tc>
      </w:tr>
      <w:tr w:rsidRPr="00706961" w:rsidR="002A45D9" w:rsidTr="002A45D9" w14:paraId="2E557FEA"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3" w:type="pct"/>
          </w:tcPr>
          <w:p w:rsidRPr="00706961" w:rsidR="002A45D9" w:rsidP="00706961" w:rsidRDefault="002A45D9" w14:paraId="052EDB7D" w14:textId="77777777">
            <w:pPr>
              <w:rPr>
                <w:rFonts w:cs="Arial"/>
                <w:b w:val="0"/>
                <w:bCs w:val="0"/>
                <w:szCs w:val="24"/>
              </w:rPr>
            </w:pPr>
            <w:r w:rsidRPr="00706961">
              <w:rPr>
                <w:rFonts w:cs="Arial"/>
                <w:b w:val="0"/>
                <w:bCs w:val="0"/>
                <w:szCs w:val="24"/>
              </w:rPr>
              <w:t>Sara Javid</w:t>
            </w:r>
          </w:p>
        </w:tc>
        <w:tc>
          <w:tcPr>
            <w:tcW w:w="2647" w:type="pct"/>
          </w:tcPr>
          <w:p w:rsidRPr="00706961" w:rsidR="002A45D9" w:rsidP="00706961" w:rsidRDefault="002A45D9" w14:paraId="71A6FD6F" w14:textId="77777777">
            <w:pPr>
              <w:cnfStyle w:val="000000100000" w:firstRow="0" w:lastRow="0" w:firstColumn="0" w:lastColumn="0" w:oddVBand="0" w:evenVBand="0" w:oddHBand="1" w:evenHBand="0" w:firstRowFirstColumn="0" w:firstRowLastColumn="0" w:lastRowFirstColumn="0" w:lastRowLastColumn="0"/>
              <w:rPr>
                <w:rFonts w:cs="Arial"/>
                <w:szCs w:val="24"/>
              </w:rPr>
            </w:pPr>
            <w:r w:rsidRPr="00706961">
              <w:rPr>
                <w:rFonts w:cs="Arial"/>
                <w:szCs w:val="24"/>
              </w:rPr>
              <w:t>NHS England</w:t>
            </w:r>
          </w:p>
        </w:tc>
      </w:tr>
      <w:tr w:rsidRPr="00706961" w:rsidR="002A45D9" w:rsidTr="002A45D9" w14:paraId="384C22B8" w14:textId="77777777">
        <w:trPr>
          <w:trHeight w:val="20"/>
        </w:trPr>
        <w:tc>
          <w:tcPr>
            <w:cnfStyle w:val="001000000000" w:firstRow="0" w:lastRow="0" w:firstColumn="1" w:lastColumn="0" w:oddVBand="0" w:evenVBand="0" w:oddHBand="0" w:evenHBand="0" w:firstRowFirstColumn="0" w:firstRowLastColumn="0" w:lastRowFirstColumn="0" w:lastRowLastColumn="0"/>
            <w:tcW w:w="2353" w:type="pct"/>
          </w:tcPr>
          <w:p w:rsidRPr="00706961" w:rsidR="002A45D9" w:rsidP="00706961" w:rsidRDefault="002A45D9" w14:paraId="2118FFC3" w14:textId="77777777">
            <w:pPr>
              <w:rPr>
                <w:rFonts w:cs="Arial"/>
                <w:b w:val="0"/>
                <w:bCs w:val="0"/>
                <w:szCs w:val="24"/>
              </w:rPr>
            </w:pPr>
            <w:r>
              <w:rPr>
                <w:rFonts w:cs="Arial"/>
                <w:b w:val="0"/>
                <w:bCs w:val="0"/>
                <w:szCs w:val="24"/>
              </w:rPr>
              <w:t>Jackie Driver</w:t>
            </w:r>
          </w:p>
        </w:tc>
        <w:tc>
          <w:tcPr>
            <w:tcW w:w="2647" w:type="pct"/>
          </w:tcPr>
          <w:p w:rsidRPr="00706961" w:rsidR="002A45D9" w:rsidP="00706961" w:rsidRDefault="002A45D9" w14:paraId="67EADDCE" w14:textId="461600E0">
            <w:pPr>
              <w:cnfStyle w:val="000000000000" w:firstRow="0" w:lastRow="0" w:firstColumn="0" w:lastColumn="0" w:oddVBand="0" w:evenVBand="0" w:oddHBand="0" w:evenHBand="0" w:firstRowFirstColumn="0" w:firstRowLastColumn="0" w:lastRowFirstColumn="0" w:lastRowLastColumn="0"/>
              <w:rPr>
                <w:rFonts w:cs="Arial"/>
                <w:szCs w:val="24"/>
                <w:lang w:eastAsia="en-GB"/>
              </w:rPr>
            </w:pPr>
            <w:r w:rsidRPr="00706961">
              <w:rPr>
                <w:rFonts w:cs="Arial"/>
                <w:szCs w:val="24"/>
                <w:lang w:eastAsia="en-GB"/>
              </w:rPr>
              <w:t>NHS Greater Manchester Integrated Care</w:t>
            </w:r>
          </w:p>
        </w:tc>
      </w:tr>
      <w:tr w:rsidRPr="00706961" w:rsidR="000F76C1" w:rsidTr="002A45D9" w14:paraId="42540C91"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3" w:type="pct"/>
          </w:tcPr>
          <w:p w:rsidRPr="000F7A4D" w:rsidR="000F76C1" w:rsidP="00706961" w:rsidRDefault="000F76C1" w14:paraId="17F478FA" w14:textId="2A608349">
            <w:pPr>
              <w:rPr>
                <w:rFonts w:cs="Arial"/>
                <w:b w:val="0"/>
                <w:bCs w:val="0"/>
                <w:szCs w:val="24"/>
              </w:rPr>
            </w:pPr>
            <w:r w:rsidRPr="00170029">
              <w:rPr>
                <w:rFonts w:cs="Arial"/>
                <w:szCs w:val="24"/>
              </w:rPr>
              <w:t>Patricia Miller</w:t>
            </w:r>
          </w:p>
        </w:tc>
        <w:tc>
          <w:tcPr>
            <w:tcW w:w="2647" w:type="pct"/>
          </w:tcPr>
          <w:p w:rsidRPr="00706961" w:rsidR="000F76C1" w:rsidP="00706961" w:rsidRDefault="000F76C1" w14:paraId="18D1C3DF" w14:textId="6DE86A07">
            <w:pPr>
              <w:cnfStyle w:val="000000100000" w:firstRow="0" w:lastRow="0" w:firstColumn="0" w:lastColumn="0" w:oddVBand="0" w:evenVBand="0" w:oddHBand="1" w:evenHBand="0" w:firstRowFirstColumn="0" w:firstRowLastColumn="0" w:lastRowFirstColumn="0" w:lastRowLastColumn="0"/>
              <w:rPr>
                <w:rFonts w:cs="Arial"/>
                <w:szCs w:val="24"/>
                <w:lang w:eastAsia="en-GB"/>
              </w:rPr>
            </w:pPr>
            <w:r>
              <w:rPr>
                <w:rFonts w:cs="Arial"/>
                <w:szCs w:val="24"/>
                <w:lang w:eastAsia="en-GB"/>
              </w:rPr>
              <w:t>NHS Dorset Integrated Care Board</w:t>
            </w:r>
          </w:p>
        </w:tc>
      </w:tr>
      <w:tr w:rsidRPr="00706961" w:rsidR="002A45D9" w:rsidTr="002A45D9" w14:paraId="7D059565" w14:textId="77777777">
        <w:trPr>
          <w:trHeight w:val="20"/>
        </w:trPr>
        <w:tc>
          <w:tcPr>
            <w:cnfStyle w:val="001000000000" w:firstRow="0" w:lastRow="0" w:firstColumn="1" w:lastColumn="0" w:oddVBand="0" w:evenVBand="0" w:oddHBand="0" w:evenHBand="0" w:firstRowFirstColumn="0" w:firstRowLastColumn="0" w:lastRowFirstColumn="0" w:lastRowLastColumn="0"/>
            <w:tcW w:w="2353" w:type="pct"/>
          </w:tcPr>
          <w:p w:rsidRPr="00706961" w:rsidR="002A45D9" w:rsidP="00706961" w:rsidRDefault="002A45D9" w14:paraId="5BDCC27C" w14:textId="77777777">
            <w:pPr>
              <w:rPr>
                <w:rFonts w:cs="Arial"/>
                <w:b w:val="0"/>
                <w:bCs w:val="0"/>
                <w:szCs w:val="24"/>
              </w:rPr>
            </w:pPr>
            <w:r w:rsidRPr="00706961">
              <w:rPr>
                <w:rFonts w:cs="Arial"/>
                <w:b w:val="0"/>
                <w:bCs w:val="0"/>
                <w:szCs w:val="24"/>
              </w:rPr>
              <w:t>Joanne McCormack</w:t>
            </w:r>
          </w:p>
        </w:tc>
        <w:tc>
          <w:tcPr>
            <w:tcW w:w="2647" w:type="pct"/>
          </w:tcPr>
          <w:p w:rsidRPr="00706961" w:rsidR="002A45D9" w:rsidP="00706961" w:rsidRDefault="00617E14" w14:paraId="3F1E007D" w14:textId="2EC699D5">
            <w:pPr>
              <w:cnfStyle w:val="000000000000" w:firstRow="0" w:lastRow="0" w:firstColumn="0" w:lastColumn="0" w:oddVBand="0" w:evenVBand="0" w:oddHBand="0" w:evenHBand="0" w:firstRowFirstColumn="0" w:firstRowLastColumn="0" w:lastRowFirstColumn="0" w:lastRowLastColumn="0"/>
              <w:rPr>
                <w:rFonts w:cs="Arial"/>
                <w:szCs w:val="24"/>
              </w:rPr>
            </w:pPr>
            <w:r w:rsidRPr="00617E14">
              <w:rPr>
                <w:rFonts w:cs="Arial"/>
                <w:szCs w:val="24"/>
              </w:rPr>
              <w:t xml:space="preserve">The National Institute for Health and Care Excellence </w:t>
            </w:r>
            <w:r>
              <w:rPr>
                <w:rFonts w:cs="Arial"/>
                <w:szCs w:val="24"/>
              </w:rPr>
              <w:t>(</w:t>
            </w:r>
            <w:r w:rsidRPr="00706961" w:rsidR="002A45D9">
              <w:rPr>
                <w:rFonts w:cs="Arial"/>
                <w:szCs w:val="24"/>
              </w:rPr>
              <w:t>NICE</w:t>
            </w:r>
            <w:r>
              <w:rPr>
                <w:rFonts w:cs="Arial"/>
                <w:szCs w:val="24"/>
              </w:rPr>
              <w:t>)</w:t>
            </w:r>
          </w:p>
        </w:tc>
      </w:tr>
      <w:tr w:rsidRPr="00706961" w:rsidR="002A45D9" w:rsidTr="002A45D9" w14:paraId="2E3BC642"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3" w:type="pct"/>
          </w:tcPr>
          <w:p w:rsidRPr="00706961" w:rsidR="002A45D9" w:rsidP="00706961" w:rsidRDefault="002A45D9" w14:paraId="5A4149A9" w14:textId="77777777">
            <w:pPr>
              <w:rPr>
                <w:rFonts w:cs="Arial"/>
                <w:b w:val="0"/>
                <w:bCs w:val="0"/>
                <w:szCs w:val="24"/>
              </w:rPr>
            </w:pPr>
            <w:r>
              <w:rPr>
                <w:rFonts w:cs="Arial"/>
                <w:b w:val="0"/>
                <w:bCs w:val="0"/>
                <w:szCs w:val="24"/>
              </w:rPr>
              <w:t xml:space="preserve">Allan </w:t>
            </w:r>
            <w:r w:rsidRPr="00706961">
              <w:rPr>
                <w:rFonts w:cs="Arial"/>
                <w:b w:val="0"/>
                <w:bCs w:val="0"/>
                <w:szCs w:val="24"/>
              </w:rPr>
              <w:t>Baker</w:t>
            </w:r>
          </w:p>
        </w:tc>
        <w:tc>
          <w:tcPr>
            <w:tcW w:w="2647" w:type="pct"/>
          </w:tcPr>
          <w:p w:rsidRPr="00706961" w:rsidR="002A45D9" w:rsidP="00706961" w:rsidRDefault="00EE514A" w14:paraId="15B3CFE8" w14:textId="3BA22584">
            <w:pPr>
              <w:cnfStyle w:val="000000100000" w:firstRow="0" w:lastRow="0" w:firstColumn="0" w:lastColumn="0" w:oddVBand="0" w:evenVBand="0" w:oddHBand="1" w:evenHBand="0" w:firstRowFirstColumn="0" w:firstRowLastColumn="0" w:lastRowFirstColumn="0" w:lastRowLastColumn="0"/>
              <w:rPr>
                <w:rFonts w:cs="Arial"/>
                <w:szCs w:val="24"/>
              </w:rPr>
            </w:pPr>
            <w:r w:rsidRPr="00790D5C">
              <w:rPr>
                <w:rFonts w:eastAsia="Arial" w:cs="Arial"/>
                <w:szCs w:val="24"/>
              </w:rPr>
              <w:t>Office of Health Improvement and Disparities</w:t>
            </w:r>
            <w:r w:rsidRPr="00706961">
              <w:rPr>
                <w:rFonts w:cs="Arial"/>
                <w:szCs w:val="24"/>
              </w:rPr>
              <w:t xml:space="preserve"> </w:t>
            </w:r>
            <w:r>
              <w:rPr>
                <w:rFonts w:cs="Arial"/>
                <w:szCs w:val="24"/>
              </w:rPr>
              <w:t>(</w:t>
            </w:r>
            <w:r w:rsidRPr="00706961" w:rsidR="002A45D9">
              <w:rPr>
                <w:rFonts w:cs="Arial"/>
                <w:szCs w:val="24"/>
              </w:rPr>
              <w:t>OHID</w:t>
            </w:r>
            <w:r>
              <w:rPr>
                <w:rFonts w:cs="Arial"/>
                <w:szCs w:val="24"/>
              </w:rPr>
              <w:t>)</w:t>
            </w:r>
          </w:p>
        </w:tc>
      </w:tr>
      <w:tr w:rsidRPr="00706961" w:rsidR="002A45D9" w:rsidTr="002A45D9" w14:paraId="6B0C1BCD" w14:textId="77777777">
        <w:trPr>
          <w:trHeight w:val="20"/>
        </w:trPr>
        <w:tc>
          <w:tcPr>
            <w:cnfStyle w:val="001000000000" w:firstRow="0" w:lastRow="0" w:firstColumn="1" w:lastColumn="0" w:oddVBand="0" w:evenVBand="0" w:oddHBand="0" w:evenHBand="0" w:firstRowFirstColumn="0" w:firstRowLastColumn="0" w:lastRowFirstColumn="0" w:lastRowLastColumn="0"/>
            <w:tcW w:w="2353" w:type="pct"/>
          </w:tcPr>
          <w:p w:rsidRPr="00706961" w:rsidR="002A45D9" w:rsidP="00706961" w:rsidRDefault="002A45D9" w14:paraId="463196B0" w14:textId="77777777">
            <w:pPr>
              <w:rPr>
                <w:rFonts w:cs="Arial"/>
                <w:b w:val="0"/>
                <w:bCs w:val="0"/>
                <w:szCs w:val="24"/>
              </w:rPr>
            </w:pPr>
            <w:r w:rsidRPr="00706961">
              <w:rPr>
                <w:rFonts w:cs="Arial"/>
                <w:b w:val="0"/>
                <w:bCs w:val="0"/>
                <w:szCs w:val="24"/>
              </w:rPr>
              <w:t>Joel Llewellyn</w:t>
            </w:r>
          </w:p>
        </w:tc>
        <w:tc>
          <w:tcPr>
            <w:tcW w:w="2647" w:type="pct"/>
          </w:tcPr>
          <w:p w:rsidRPr="00706961" w:rsidR="002A45D9" w:rsidP="00706961" w:rsidRDefault="002A45D9" w14:paraId="776EA711" w14:textId="77777777">
            <w:pP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People’s Health Trust</w:t>
            </w:r>
          </w:p>
        </w:tc>
      </w:tr>
      <w:tr w:rsidRPr="00706961" w:rsidR="002A45D9" w:rsidTr="002A45D9" w14:paraId="5A3717A3"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353" w:type="pct"/>
          </w:tcPr>
          <w:p w:rsidRPr="00706961" w:rsidR="002A45D9" w:rsidP="00706961" w:rsidRDefault="002A45D9" w14:paraId="4A938594" w14:textId="77777777">
            <w:pPr>
              <w:rPr>
                <w:rFonts w:cs="Arial"/>
                <w:b w:val="0"/>
                <w:bCs w:val="0"/>
                <w:szCs w:val="24"/>
              </w:rPr>
            </w:pPr>
            <w:r w:rsidRPr="00706961">
              <w:rPr>
                <w:rFonts w:cs="Arial"/>
                <w:b w:val="0"/>
                <w:bCs w:val="0"/>
                <w:szCs w:val="24"/>
              </w:rPr>
              <w:t>Max Edelstyn</w:t>
            </w:r>
          </w:p>
        </w:tc>
        <w:tc>
          <w:tcPr>
            <w:tcW w:w="2647" w:type="pct"/>
          </w:tcPr>
          <w:p w:rsidRPr="00706961" w:rsidR="002A45D9" w:rsidP="00706961" w:rsidRDefault="002A45D9" w14:paraId="18784D38" w14:textId="77777777">
            <w:pPr>
              <w:cnfStyle w:val="000000100000" w:firstRow="0" w:lastRow="0" w:firstColumn="0" w:lastColumn="0" w:oddVBand="0" w:evenVBand="0" w:oddHBand="1" w:evenHBand="0" w:firstRowFirstColumn="0" w:firstRowLastColumn="0" w:lastRowFirstColumn="0" w:lastRowLastColumn="0"/>
              <w:rPr>
                <w:rFonts w:cs="Arial"/>
                <w:szCs w:val="24"/>
              </w:rPr>
            </w:pPr>
            <w:r w:rsidRPr="002A45D9">
              <w:rPr>
                <w:rFonts w:cs="Arial"/>
                <w:szCs w:val="24"/>
              </w:rPr>
              <w:t>The Equality and Human Rights Commission</w:t>
            </w:r>
          </w:p>
        </w:tc>
      </w:tr>
      <w:tr w:rsidRPr="00706961" w:rsidR="002A45D9" w:rsidTr="002A45D9" w14:paraId="7F9B2226" w14:textId="77777777">
        <w:trPr>
          <w:trHeight w:val="20"/>
        </w:trPr>
        <w:tc>
          <w:tcPr>
            <w:cnfStyle w:val="001000000000" w:firstRow="0" w:lastRow="0" w:firstColumn="1" w:lastColumn="0" w:oddVBand="0" w:evenVBand="0" w:oddHBand="0" w:evenHBand="0" w:firstRowFirstColumn="0" w:firstRowLastColumn="0" w:lastRowFirstColumn="0" w:lastRowLastColumn="0"/>
            <w:tcW w:w="2353" w:type="pct"/>
          </w:tcPr>
          <w:p w:rsidRPr="00706961" w:rsidR="002A45D9" w:rsidP="00706961" w:rsidRDefault="002A45D9" w14:paraId="0E92AE32" w14:textId="77777777">
            <w:pPr>
              <w:rPr>
                <w:rFonts w:cs="Arial"/>
                <w:b w:val="0"/>
                <w:bCs w:val="0"/>
                <w:szCs w:val="24"/>
              </w:rPr>
            </w:pPr>
            <w:r>
              <w:rPr>
                <w:rFonts w:cs="Arial"/>
                <w:b w:val="0"/>
                <w:bCs w:val="0"/>
                <w:szCs w:val="24"/>
              </w:rPr>
              <w:t xml:space="preserve">Professor </w:t>
            </w:r>
            <w:r w:rsidRPr="00706961">
              <w:rPr>
                <w:rFonts w:cs="Arial"/>
                <w:b w:val="0"/>
                <w:bCs w:val="0"/>
                <w:szCs w:val="24"/>
              </w:rPr>
              <w:t>Rosalind</w:t>
            </w:r>
            <w:r>
              <w:rPr>
                <w:rFonts w:cs="Arial"/>
                <w:b w:val="0"/>
                <w:bCs w:val="0"/>
                <w:szCs w:val="24"/>
              </w:rPr>
              <w:t xml:space="preserve"> Raine</w:t>
            </w:r>
          </w:p>
        </w:tc>
        <w:tc>
          <w:tcPr>
            <w:tcW w:w="2647" w:type="pct"/>
          </w:tcPr>
          <w:p w:rsidRPr="00706961" w:rsidR="002A45D9" w:rsidP="00706961" w:rsidRDefault="002A45D9" w14:paraId="2C316FCF" w14:textId="0AB0BD10">
            <w:pPr>
              <w:cnfStyle w:val="000000000000" w:firstRow="0" w:lastRow="0" w:firstColumn="0" w:lastColumn="0" w:oddVBand="0" w:evenVBand="0" w:oddHBand="0" w:evenHBand="0" w:firstRowFirstColumn="0" w:firstRowLastColumn="0" w:lastRowFirstColumn="0" w:lastRowLastColumn="0"/>
              <w:rPr>
                <w:rFonts w:cs="Arial"/>
                <w:szCs w:val="24"/>
              </w:rPr>
            </w:pPr>
            <w:r w:rsidRPr="00706961">
              <w:rPr>
                <w:rFonts w:cs="Arial"/>
                <w:szCs w:val="24"/>
              </w:rPr>
              <w:t>U</w:t>
            </w:r>
            <w:r w:rsidR="00C6598C">
              <w:rPr>
                <w:rFonts w:cs="Arial"/>
                <w:szCs w:val="24"/>
              </w:rPr>
              <w:t xml:space="preserve">niversity </w:t>
            </w:r>
            <w:r w:rsidRPr="00706961">
              <w:rPr>
                <w:rFonts w:cs="Arial"/>
                <w:szCs w:val="24"/>
              </w:rPr>
              <w:t>C</w:t>
            </w:r>
            <w:r w:rsidR="00C6598C">
              <w:rPr>
                <w:rFonts w:cs="Arial"/>
                <w:szCs w:val="24"/>
              </w:rPr>
              <w:t xml:space="preserve">ollege </w:t>
            </w:r>
            <w:r w:rsidRPr="00706961">
              <w:rPr>
                <w:rFonts w:cs="Arial"/>
                <w:szCs w:val="24"/>
              </w:rPr>
              <w:t>L</w:t>
            </w:r>
            <w:r w:rsidR="00C6598C">
              <w:rPr>
                <w:rFonts w:cs="Arial"/>
                <w:szCs w:val="24"/>
              </w:rPr>
              <w:t>ondon</w:t>
            </w:r>
          </w:p>
        </w:tc>
      </w:tr>
    </w:tbl>
    <w:p w:rsidR="00607617" w:rsidP="00607617" w:rsidRDefault="00607617" w14:paraId="13D29C65" w14:textId="448EE88D">
      <w:pPr>
        <w:pStyle w:val="Head12C2R"/>
        <w:framePr w:w="0" w:wrap="auto" w:yAlign="inline"/>
        <w:spacing w:after="240"/>
      </w:pPr>
      <w:bookmarkStart w:name="_Toc146539779" w:id="182"/>
      <w:r>
        <w:t xml:space="preserve">Annex </w:t>
      </w:r>
      <w:r w:rsidR="006C28CC">
        <w:t>H</w:t>
      </w:r>
      <w:r>
        <w:t xml:space="preserve"> – </w:t>
      </w:r>
      <w:r w:rsidR="00413772">
        <w:t xml:space="preserve">List of </w:t>
      </w:r>
      <w:r>
        <w:t>References</w:t>
      </w:r>
      <w:bookmarkEnd w:id="182"/>
    </w:p>
    <w:p w:rsidRPr="00190191" w:rsidR="0079752A" w:rsidP="00AF10D4" w:rsidRDefault="0079752A" w14:paraId="652F4A8A" w14:textId="33C4C25E">
      <w:pPr>
        <w:pStyle w:val="EndnoteText"/>
        <w:numPr>
          <w:ilvl w:val="0"/>
          <w:numId w:val="25"/>
        </w:numPr>
        <w:spacing w:after="120"/>
        <w:ind w:left="454" w:hanging="454"/>
        <w:rPr>
          <w:rFonts w:cs="Arial"/>
          <w:sz w:val="24"/>
          <w:szCs w:val="24"/>
        </w:rPr>
      </w:pPr>
      <w:r w:rsidRPr="00190191">
        <w:rPr>
          <w:rFonts w:cs="Arial"/>
          <w:sz w:val="24"/>
          <w:szCs w:val="24"/>
        </w:rPr>
        <w:t>The King’s Fund. (2022). </w:t>
      </w:r>
      <w:r w:rsidRPr="000F7A4D">
        <w:rPr>
          <w:rFonts w:cs="Arial"/>
          <w:sz w:val="24"/>
          <w:szCs w:val="24"/>
        </w:rPr>
        <w:t>What Are Health Inequalities?</w:t>
      </w:r>
      <w:r w:rsidRPr="00190191">
        <w:rPr>
          <w:rFonts w:cs="Arial"/>
          <w:sz w:val="24"/>
          <w:szCs w:val="24"/>
        </w:rPr>
        <w:t xml:space="preserve"> [online] The King’s Fund. Available at: </w:t>
      </w:r>
      <w:r w:rsidRPr="000F7A4D">
        <w:t>https://www.kingsfund.org.uk/publications/what-are-health-inequalities</w:t>
      </w:r>
      <w:r w:rsidRPr="00190191">
        <w:rPr>
          <w:rFonts w:cs="Arial"/>
          <w:sz w:val="24"/>
          <w:szCs w:val="24"/>
        </w:rPr>
        <w:t>. [Accessed 28 Jul. 2023].</w:t>
      </w:r>
    </w:p>
    <w:p w:rsidRPr="00190191" w:rsidR="00607617" w:rsidP="00AF10D4" w:rsidRDefault="00607617" w14:paraId="725C3AB3" w14:textId="294A6534">
      <w:pPr>
        <w:pStyle w:val="EndnoteText"/>
        <w:numPr>
          <w:ilvl w:val="0"/>
          <w:numId w:val="25"/>
        </w:numPr>
        <w:spacing w:after="120"/>
        <w:ind w:left="454" w:hanging="454"/>
        <w:rPr>
          <w:rFonts w:cs="Arial"/>
          <w:sz w:val="24"/>
          <w:szCs w:val="24"/>
        </w:rPr>
      </w:pPr>
      <w:r w:rsidRPr="00190191">
        <w:rPr>
          <w:rFonts w:cs="Arial"/>
          <w:sz w:val="24"/>
          <w:szCs w:val="24"/>
        </w:rPr>
        <w:t>Barnes, M., Bauld, L., Benzeval, M., Judge, K., Mackenzie, M. and Sullivan, H. (2005). Health Action Zones:</w:t>
      </w:r>
      <w:r w:rsidRPr="000F7A4D">
        <w:rPr>
          <w:rFonts w:cs="Arial"/>
          <w:sz w:val="24"/>
          <w:szCs w:val="24"/>
        </w:rPr>
        <w:t xml:space="preserve"> </w:t>
      </w:r>
      <w:r w:rsidRPr="00190191">
        <w:rPr>
          <w:rFonts w:cs="Arial"/>
          <w:sz w:val="24"/>
          <w:szCs w:val="24"/>
        </w:rPr>
        <w:t>Partnerships for Health Equity. Routledge. https://doi.org/10.4324/9780203358337.</w:t>
      </w:r>
    </w:p>
    <w:p w:rsidRPr="00190191" w:rsidR="00607617" w:rsidP="00AF10D4" w:rsidRDefault="00607617" w14:paraId="5744D139" w14:textId="4C42B9AA">
      <w:pPr>
        <w:pStyle w:val="EndnoteText"/>
        <w:numPr>
          <w:ilvl w:val="0"/>
          <w:numId w:val="25"/>
        </w:numPr>
        <w:spacing w:after="120"/>
        <w:ind w:left="454" w:hanging="454"/>
        <w:rPr>
          <w:rFonts w:cs="Arial"/>
          <w:sz w:val="24"/>
          <w:szCs w:val="24"/>
        </w:rPr>
      </w:pPr>
      <w:r w:rsidRPr="00190191">
        <w:rPr>
          <w:rFonts w:cs="Arial"/>
          <w:sz w:val="24"/>
          <w:szCs w:val="24"/>
        </w:rPr>
        <w:t>Health and Care Act 2022. Available at: https://www.legislation.gov.uk/ukpga/2022/31/contents/enacted [Accessed 7 Jul. 2023].</w:t>
      </w:r>
    </w:p>
    <w:p w:rsidRPr="00190191" w:rsidR="00700E3F" w:rsidP="00AF10D4" w:rsidRDefault="00700E3F" w14:paraId="36D99064" w14:textId="4C0AD32A">
      <w:pPr>
        <w:pStyle w:val="EndnoteText"/>
        <w:numPr>
          <w:ilvl w:val="0"/>
          <w:numId w:val="25"/>
        </w:numPr>
        <w:spacing w:after="120"/>
        <w:ind w:left="454" w:hanging="454"/>
        <w:rPr>
          <w:rFonts w:cs="Arial"/>
          <w:sz w:val="24"/>
          <w:szCs w:val="24"/>
        </w:rPr>
      </w:pPr>
      <w:r w:rsidRPr="00190191">
        <w:rPr>
          <w:rFonts w:cs="Arial"/>
          <w:sz w:val="24"/>
          <w:szCs w:val="24"/>
        </w:rPr>
        <w:t xml:space="preserve">Care Quality Commission (2021). A new strategy for the changing world of health and social care - CQC’s strategy from 2021. [online] Available at: </w:t>
      </w:r>
      <w:r w:rsidRPr="000F7A4D">
        <w:t>https://www.cqc.org.uk/about-us/our-strategy-plans/new-strategy-changing-world-health-social-care-cqcs-strategy-2021</w:t>
      </w:r>
      <w:r w:rsidRPr="00190191">
        <w:rPr>
          <w:rFonts w:cs="Arial"/>
          <w:sz w:val="24"/>
          <w:szCs w:val="24"/>
        </w:rPr>
        <w:t xml:space="preserve"> [Accessed 28 Jul. 2023].</w:t>
      </w:r>
    </w:p>
    <w:p w:rsidRPr="00190191" w:rsidR="00607617" w:rsidP="00AF10D4" w:rsidRDefault="00607617" w14:paraId="62BDA664" w14:textId="70962258">
      <w:pPr>
        <w:pStyle w:val="EndnoteText"/>
        <w:numPr>
          <w:ilvl w:val="0"/>
          <w:numId w:val="25"/>
        </w:numPr>
        <w:spacing w:after="120"/>
        <w:ind w:left="454" w:hanging="454"/>
        <w:rPr>
          <w:rFonts w:cs="Arial"/>
          <w:sz w:val="24"/>
          <w:szCs w:val="24"/>
        </w:rPr>
      </w:pPr>
      <w:r w:rsidRPr="00190191">
        <w:rPr>
          <w:rFonts w:cs="Arial"/>
          <w:sz w:val="24"/>
          <w:szCs w:val="24"/>
        </w:rPr>
        <w:t>kib.ki.se. PRESS 2015: checklist for search strategies | Karolinska Institutet University Library. [online] Available at: https://kib.ki.se/en/search-evaluate/systematic-reviews/press-2015-checklist-search-strategies [Accessed 7 Jul. 2023].</w:t>
      </w:r>
    </w:p>
    <w:p w:rsidRPr="00190191" w:rsidR="00607617" w:rsidP="00AF10D4" w:rsidRDefault="00607617" w14:paraId="7AED9157" w14:textId="1C70C9AD">
      <w:pPr>
        <w:pStyle w:val="EndnoteText"/>
        <w:numPr>
          <w:ilvl w:val="0"/>
          <w:numId w:val="25"/>
        </w:numPr>
        <w:spacing w:after="120"/>
        <w:ind w:left="454" w:hanging="454"/>
        <w:rPr>
          <w:rFonts w:cs="Arial"/>
          <w:sz w:val="24"/>
          <w:szCs w:val="24"/>
        </w:rPr>
      </w:pPr>
      <w:r w:rsidRPr="00190191">
        <w:rPr>
          <w:rFonts w:cs="Arial"/>
          <w:sz w:val="24"/>
          <w:szCs w:val="24"/>
        </w:rPr>
        <w:t>British Medical Journal (2011). What is GRADE? – BMJ Best Practice. [online] Bmj.com. Available at: https://bestpractice.bmj.com/info/toolkit/learn-ebm/what-is-grade/ [Accessed 7 Jul. 2023].</w:t>
      </w:r>
    </w:p>
    <w:p w:rsidRPr="00190191" w:rsidR="00E25A49" w:rsidP="00AF10D4" w:rsidRDefault="000927EF" w14:paraId="2A32C76F" w14:textId="0E11B804">
      <w:pPr>
        <w:pStyle w:val="EndnoteText"/>
        <w:numPr>
          <w:ilvl w:val="0"/>
          <w:numId w:val="25"/>
        </w:numPr>
        <w:spacing w:after="120"/>
        <w:ind w:left="454" w:hanging="454"/>
        <w:rPr>
          <w:rFonts w:cs="Arial"/>
          <w:sz w:val="24"/>
          <w:szCs w:val="24"/>
        </w:rPr>
      </w:pPr>
      <w:r w:rsidRPr="00190191">
        <w:rPr>
          <w:rFonts w:cs="Arial"/>
          <w:sz w:val="24"/>
          <w:szCs w:val="24"/>
        </w:rPr>
        <w:t>Beaney, T., Clarke, J.M., Grundy, E. and Coronini-Cronberg, S. (2022). A picture of health: determining the core population served by an urban NHS hospital trust and understanding the key health needs. BMC Public Health, 22(1). doi:https://doi.org/10.1186/s12889-021-12373-5.</w:t>
      </w:r>
    </w:p>
    <w:p w:rsidRPr="00190191" w:rsidR="000927EF" w:rsidP="00AF10D4" w:rsidRDefault="00FB3C1C" w14:paraId="7EBEE0B4" w14:textId="7789E0DD">
      <w:pPr>
        <w:pStyle w:val="EndnoteText"/>
        <w:numPr>
          <w:ilvl w:val="0"/>
          <w:numId w:val="25"/>
        </w:numPr>
        <w:spacing w:after="120"/>
        <w:ind w:left="454" w:hanging="454"/>
        <w:rPr>
          <w:rFonts w:cs="Arial"/>
          <w:sz w:val="24"/>
          <w:szCs w:val="24"/>
        </w:rPr>
      </w:pPr>
      <w:r w:rsidRPr="00190191">
        <w:rPr>
          <w:rFonts w:cs="Arial"/>
          <w:sz w:val="24"/>
          <w:szCs w:val="24"/>
        </w:rPr>
        <w:t>Nnoaham, K.E. and Cann, K.F. (2020). Can cluster analyses of linked healthcare data identify unique population segments in a general practice-registered population? BMC Public Health, 20(1). doi:https://doi.org/10.1186/s12889-020-08930-z.</w:t>
      </w:r>
    </w:p>
    <w:p w:rsidRPr="00190191" w:rsidR="00FB3C1C" w:rsidP="00AF10D4" w:rsidRDefault="00D2068E" w14:paraId="07D40982" w14:textId="28E606FB">
      <w:pPr>
        <w:pStyle w:val="EndnoteText"/>
        <w:numPr>
          <w:ilvl w:val="0"/>
          <w:numId w:val="25"/>
        </w:numPr>
        <w:spacing w:after="120"/>
        <w:ind w:left="454" w:hanging="454"/>
        <w:rPr>
          <w:rFonts w:cs="Arial"/>
          <w:sz w:val="24"/>
          <w:szCs w:val="24"/>
        </w:rPr>
      </w:pPr>
      <w:r w:rsidRPr="00190191">
        <w:rPr>
          <w:rFonts w:cs="Arial"/>
          <w:sz w:val="24"/>
          <w:szCs w:val="24"/>
        </w:rPr>
        <w:t>Saunders, P., Campbell, P., Webster, M. and Thawe, M. (2019). Analysis of Small Area Environmental, Socioeconomic and Health Data in Collaboration with Local Communities to Target and Evaluate ‘Triple Win’ Interventions in a Deprived Community in Birmingham UK. International Journal of Environmental Research and Public Health, 16(22), p.4331. doi:https://doi.org/10.3390/ijerph16224331.</w:t>
      </w:r>
    </w:p>
    <w:p w:rsidRPr="00190191" w:rsidR="00D2068E" w:rsidP="00AF10D4" w:rsidRDefault="007812AB" w14:paraId="4104EB1D" w14:textId="3761E735">
      <w:pPr>
        <w:pStyle w:val="EndnoteText"/>
        <w:numPr>
          <w:ilvl w:val="0"/>
          <w:numId w:val="25"/>
        </w:numPr>
        <w:spacing w:after="120"/>
        <w:ind w:left="454" w:hanging="454"/>
        <w:rPr>
          <w:rFonts w:cs="Arial"/>
          <w:sz w:val="24"/>
          <w:szCs w:val="24"/>
        </w:rPr>
      </w:pPr>
      <w:r w:rsidRPr="00190191">
        <w:rPr>
          <w:rFonts w:cs="Arial"/>
          <w:sz w:val="24"/>
          <w:szCs w:val="24"/>
        </w:rPr>
        <w:t>Jessiman, P.E., Powell, K., Williams, P., Fairbrother, H., Crowder, M., Williams, J.G. and Kipping, R. (2021). A systems map of the determinants of child health inequalities in England at the local level. PLOS ONE, 16(2), p.e0245577. doi:https://doi.org/10.1371/journal.pone.0245577.</w:t>
      </w:r>
    </w:p>
    <w:p w:rsidRPr="00190191" w:rsidR="00311C51" w:rsidP="00AF10D4" w:rsidRDefault="00311C51" w14:paraId="41EFB8A4" w14:textId="61DAABB2">
      <w:pPr>
        <w:pStyle w:val="EndnoteText"/>
        <w:numPr>
          <w:ilvl w:val="0"/>
          <w:numId w:val="25"/>
        </w:numPr>
        <w:spacing w:after="120"/>
        <w:ind w:left="454" w:hanging="454"/>
        <w:rPr>
          <w:rFonts w:cs="Arial"/>
          <w:sz w:val="24"/>
          <w:szCs w:val="24"/>
        </w:rPr>
      </w:pPr>
      <w:r w:rsidRPr="00190191">
        <w:rPr>
          <w:rFonts w:cs="Arial"/>
          <w:sz w:val="24"/>
          <w:szCs w:val="24"/>
        </w:rPr>
        <w:t>The Strategy Unit. (2022). Visualising Socio- Economic Inequalities in CHD Progression and Pathways. [online] Available at: https://www.strategyunitwm.nhs.uk/sites/default/files/2022-12/BHF_Visualising%20Socio-Economic%20Inequalities%20in%20CHD%20Progression%20and%20Pathways_July2022-EditForPublication.pdf [Accessed 7 Jul. 2023].</w:t>
      </w:r>
    </w:p>
    <w:p w:rsidRPr="00190191" w:rsidR="002F6343" w:rsidP="00AF10D4" w:rsidRDefault="002F6343" w14:paraId="1CF9C640" w14:textId="2E804659">
      <w:pPr>
        <w:pStyle w:val="EndnoteText"/>
        <w:numPr>
          <w:ilvl w:val="0"/>
          <w:numId w:val="25"/>
        </w:numPr>
        <w:spacing w:after="120"/>
        <w:ind w:left="454" w:hanging="454"/>
        <w:rPr>
          <w:rFonts w:cs="Arial"/>
          <w:sz w:val="24"/>
          <w:szCs w:val="24"/>
        </w:rPr>
      </w:pPr>
      <w:r w:rsidRPr="00190191">
        <w:rPr>
          <w:rFonts w:cs="Arial"/>
          <w:sz w:val="24"/>
          <w:szCs w:val="24"/>
        </w:rPr>
        <w:t>The Health Foundation. (2022). How does residential mobility shape the health of local areas? [online] Available at: https://www.health.org.uk/publications/long-reads/how-does-residential-mobility-shape-the-health-of-local-areas [Accessed 7 Jul. 2023].</w:t>
      </w:r>
    </w:p>
    <w:p w:rsidRPr="00190191" w:rsidR="00524C69" w:rsidP="00AF10D4" w:rsidRDefault="00524C69" w14:paraId="0A179628" w14:textId="07AAB06E">
      <w:pPr>
        <w:pStyle w:val="EndnoteText"/>
        <w:numPr>
          <w:ilvl w:val="0"/>
          <w:numId w:val="25"/>
        </w:numPr>
        <w:spacing w:after="120"/>
        <w:ind w:left="454" w:hanging="454"/>
        <w:rPr>
          <w:rFonts w:cs="Arial"/>
          <w:sz w:val="24"/>
          <w:szCs w:val="24"/>
        </w:rPr>
      </w:pPr>
      <w:r w:rsidRPr="00190191">
        <w:rPr>
          <w:rFonts w:cs="Arial"/>
          <w:sz w:val="24"/>
          <w:szCs w:val="24"/>
        </w:rPr>
        <w:t>Sharpe, R.A., Wyatt, K.M. and Williams, A.J. (2022). Do the Determinants of Mental Wellbeing Vary by Housing Tenure Status? Secondary Analysis of a 2017 Cross-Sectional Residents Survey in Cornwall, South West England. International Journal of Environmental Research and Public Health, 19(7), p.3816. doi:https://doi.org/10.3390/ijerph19073816.</w:t>
      </w:r>
    </w:p>
    <w:p w:rsidRPr="00190191" w:rsidR="00524C69" w:rsidP="00AF10D4" w:rsidRDefault="00524C69" w14:paraId="21A5CCF5" w14:textId="77777777">
      <w:pPr>
        <w:pStyle w:val="EndnoteText"/>
        <w:numPr>
          <w:ilvl w:val="0"/>
          <w:numId w:val="25"/>
        </w:numPr>
        <w:spacing w:after="120"/>
        <w:ind w:left="454" w:hanging="454"/>
        <w:rPr>
          <w:rFonts w:cs="Arial"/>
          <w:sz w:val="24"/>
          <w:szCs w:val="24"/>
        </w:rPr>
      </w:pPr>
      <w:r w:rsidRPr="00190191">
        <w:rPr>
          <w:rFonts w:cs="Arial"/>
          <w:sz w:val="24"/>
          <w:szCs w:val="24"/>
        </w:rPr>
        <w:t>The Institute of Health Equity (2022). Fuel Poverty, Cold Homes and Health Inequalities in the UK. [online] Available at: https://www.instituteofhealthequity.org/resources-reports/fuel-poverty-cold-homes-and-health-inequalities-in-the-uk/read-the-report.pdf [Accessed 7 Jul. 2023].</w:t>
      </w:r>
    </w:p>
    <w:p w:rsidRPr="00190191" w:rsidR="00524C69" w:rsidP="00AF10D4" w:rsidRDefault="00524C69" w14:paraId="3A3F1266" w14:textId="1AFC983D">
      <w:pPr>
        <w:pStyle w:val="EndnoteText"/>
        <w:numPr>
          <w:ilvl w:val="0"/>
          <w:numId w:val="25"/>
        </w:numPr>
        <w:spacing w:after="120"/>
        <w:ind w:left="454" w:hanging="454"/>
        <w:rPr>
          <w:rFonts w:cs="Arial"/>
          <w:sz w:val="24"/>
          <w:szCs w:val="24"/>
        </w:rPr>
      </w:pPr>
      <w:r w:rsidRPr="00190191">
        <w:rPr>
          <w:rFonts w:cs="Arial"/>
          <w:sz w:val="24"/>
          <w:szCs w:val="24"/>
        </w:rPr>
        <w:t>Born in Bradford (2019). Available at: https://borninbradford.nhs.uk/wp-content/uploads/BIB_Supplement_Magazine_2019_Web.pdf [Accessed 7 Jul. 2023].</w:t>
      </w:r>
    </w:p>
    <w:p w:rsidRPr="00190191" w:rsidR="00F327EC" w:rsidP="00AF10D4" w:rsidRDefault="007F715B" w14:paraId="47D33B20" w14:textId="7826ACEA">
      <w:pPr>
        <w:pStyle w:val="EndnoteText"/>
        <w:numPr>
          <w:ilvl w:val="0"/>
          <w:numId w:val="25"/>
        </w:numPr>
        <w:spacing w:after="120"/>
        <w:ind w:left="454" w:hanging="454"/>
        <w:rPr>
          <w:rFonts w:cs="Arial"/>
          <w:sz w:val="24"/>
          <w:szCs w:val="24"/>
        </w:rPr>
      </w:pPr>
      <w:r w:rsidRPr="00190191">
        <w:rPr>
          <w:rFonts w:cs="Arial"/>
          <w:sz w:val="24"/>
          <w:szCs w:val="24"/>
        </w:rPr>
        <w:t>Mughal, R., Thomson, L.J.M., Daykin, N. and Chatterjee, H.J. (2022). Rapid Evidence Review of Community Engagement and Resources in the UK during the COVID-19 Pandemic: How Can Community Assets Redress Health Inequities? International Journal of Environmental Research and Public Health, 19(7), p.4086. doi:https://doi.org/10.3390/ijerph19074086.</w:t>
      </w:r>
    </w:p>
    <w:p w:rsidRPr="00190191" w:rsidR="007F715B" w:rsidP="00AF10D4" w:rsidRDefault="00054D11" w14:paraId="61AECD0D" w14:textId="56D1A921">
      <w:pPr>
        <w:pStyle w:val="EndnoteText"/>
        <w:numPr>
          <w:ilvl w:val="0"/>
          <w:numId w:val="25"/>
        </w:numPr>
        <w:spacing w:after="120"/>
        <w:ind w:left="454" w:hanging="454"/>
        <w:rPr>
          <w:rFonts w:cs="Arial"/>
          <w:sz w:val="24"/>
          <w:szCs w:val="24"/>
        </w:rPr>
      </w:pPr>
      <w:r w:rsidRPr="00190191">
        <w:rPr>
          <w:rFonts w:cs="Arial"/>
          <w:sz w:val="24"/>
          <w:szCs w:val="24"/>
        </w:rPr>
        <w:t>Robertson, S., Woodall, J., Henry, H., Hanna, E., Rowlands, S., Horrocks, J., Livesley, J. and Long, T. (</w:t>
      </w:r>
      <w:r w:rsidRPr="00190191" w:rsidR="00B217C3">
        <w:rPr>
          <w:rFonts w:cs="Arial"/>
          <w:sz w:val="24"/>
          <w:szCs w:val="24"/>
        </w:rPr>
        <w:t>2018</w:t>
      </w:r>
      <w:r w:rsidRPr="00190191">
        <w:rPr>
          <w:rFonts w:cs="Arial"/>
          <w:sz w:val="24"/>
          <w:szCs w:val="24"/>
        </w:rPr>
        <w:t>). Evaluating a community-led project for improving fathers’ and children’s wellbeing in England. Health Promotion International, p.daw090. doi:https://doi.org/10.1093/heapro/daw090.</w:t>
      </w:r>
    </w:p>
    <w:p w:rsidRPr="00190191" w:rsidR="002145F8" w:rsidP="00AF10D4" w:rsidRDefault="002145F8" w14:paraId="3EDFBD6E" w14:textId="7983DB91">
      <w:pPr>
        <w:pStyle w:val="EndnoteText"/>
        <w:numPr>
          <w:ilvl w:val="0"/>
          <w:numId w:val="25"/>
        </w:numPr>
        <w:spacing w:after="120"/>
        <w:ind w:left="454" w:hanging="454"/>
        <w:rPr>
          <w:rFonts w:cs="Arial"/>
          <w:sz w:val="24"/>
          <w:szCs w:val="24"/>
        </w:rPr>
      </w:pPr>
      <w:r w:rsidRPr="00190191">
        <w:rPr>
          <w:rFonts w:cs="Arial"/>
          <w:sz w:val="24"/>
          <w:szCs w:val="24"/>
        </w:rPr>
        <w:t>The King’s Fund (2018). Tackling multiple unhealthy risk factors Emerging lessons from practice. [online] Available at: https://www.kingsfund.org.uk/sites/default/files/2018-03/Tackling%20multiple%20unhealthy%20risk%20factors%20-%20full%20report.pdf [Accessed 7 Jul. 2023].</w:t>
      </w:r>
    </w:p>
    <w:p w:rsidRPr="00190191" w:rsidR="00B856C7" w:rsidP="00AF10D4" w:rsidRDefault="00B856C7" w14:paraId="2B119D2E" w14:textId="18729938">
      <w:pPr>
        <w:pStyle w:val="EndnoteText"/>
        <w:numPr>
          <w:ilvl w:val="0"/>
          <w:numId w:val="25"/>
        </w:numPr>
        <w:spacing w:after="120"/>
        <w:ind w:left="454" w:hanging="454"/>
        <w:rPr>
          <w:rFonts w:cs="Arial"/>
          <w:sz w:val="24"/>
          <w:szCs w:val="24"/>
        </w:rPr>
      </w:pPr>
      <w:r w:rsidRPr="00190191">
        <w:rPr>
          <w:rFonts w:cs="Arial"/>
          <w:sz w:val="24"/>
          <w:szCs w:val="24"/>
        </w:rPr>
        <w:t>The Institute of Health Inequality. (2020). Health Equity in England: The Marmot Review 10 Years On. [online] Available at: https://www.instituteofhealthequity.org/resources-reports/marmot-review-10-years-on/the-marmot-review-10-years-on-full-report.pdf [Accessed 7 Jul. 2023].</w:t>
      </w:r>
    </w:p>
    <w:p w:rsidRPr="00190191" w:rsidR="00336447" w:rsidP="00AF10D4" w:rsidRDefault="009D1D2F" w14:paraId="0D280808" w14:textId="01977935">
      <w:pPr>
        <w:pStyle w:val="EndnoteText"/>
        <w:numPr>
          <w:ilvl w:val="0"/>
          <w:numId w:val="25"/>
        </w:numPr>
        <w:spacing w:after="120"/>
        <w:ind w:left="454" w:hanging="454"/>
        <w:rPr>
          <w:rFonts w:cs="Arial"/>
          <w:sz w:val="24"/>
          <w:szCs w:val="24"/>
        </w:rPr>
      </w:pPr>
      <w:r w:rsidRPr="00190191">
        <w:rPr>
          <w:rFonts w:cs="Arial"/>
          <w:sz w:val="24"/>
          <w:szCs w:val="24"/>
        </w:rPr>
        <w:t>Steer, M. and Machin, A.I. (2018). A qualitative exploration of stakeholder perceptions of the implementation of place-based working and its potential to reduce health inequality. Journal of Public Health. doi:https://doi.org/10.1093/pubmed/fdy001.</w:t>
      </w:r>
    </w:p>
    <w:p w:rsidRPr="00190191" w:rsidR="00002C23" w:rsidP="00AF10D4" w:rsidRDefault="00002C23" w14:paraId="417F7B5E" w14:textId="4A315691">
      <w:pPr>
        <w:pStyle w:val="EndnoteText"/>
        <w:numPr>
          <w:ilvl w:val="0"/>
          <w:numId w:val="25"/>
        </w:numPr>
        <w:spacing w:after="120"/>
        <w:ind w:left="454" w:hanging="454"/>
        <w:rPr>
          <w:rFonts w:cs="Arial"/>
          <w:sz w:val="24"/>
          <w:szCs w:val="24"/>
        </w:rPr>
      </w:pPr>
      <w:r w:rsidRPr="00190191">
        <w:rPr>
          <w:rFonts w:cs="Arial"/>
          <w:sz w:val="24"/>
          <w:szCs w:val="24"/>
        </w:rPr>
        <w:t xml:space="preserve">Local Government Association. </w:t>
      </w:r>
      <w:r w:rsidRPr="00190191" w:rsidR="00BB7D1F">
        <w:rPr>
          <w:rFonts w:cs="Arial"/>
          <w:sz w:val="24"/>
          <w:szCs w:val="24"/>
        </w:rPr>
        <w:t xml:space="preserve">(2017). </w:t>
      </w:r>
      <w:r w:rsidRPr="00190191">
        <w:rPr>
          <w:rFonts w:cs="Arial"/>
          <w:sz w:val="24"/>
          <w:szCs w:val="24"/>
        </w:rPr>
        <w:t xml:space="preserve">Public health transformation four years on: maximising the use of limited resources. </w:t>
      </w:r>
      <w:r w:rsidRPr="00190191" w:rsidR="00AE4EB9">
        <w:rPr>
          <w:rFonts w:cs="Arial"/>
          <w:sz w:val="24"/>
          <w:szCs w:val="24"/>
        </w:rPr>
        <w:t xml:space="preserve">[online] </w:t>
      </w:r>
      <w:r w:rsidRPr="00190191">
        <w:rPr>
          <w:rFonts w:cs="Arial"/>
          <w:sz w:val="24"/>
          <w:szCs w:val="24"/>
        </w:rPr>
        <w:t>Available at: https://www.local.gov.uk/sites/default/files/documents/Public%20health%20transformation%20four%20years%20on.pdf [Accessed 7 Jul. 2023].</w:t>
      </w:r>
    </w:p>
    <w:p w:rsidRPr="00190191" w:rsidR="00AB2924" w:rsidP="00AF10D4" w:rsidRDefault="00D125A5" w14:paraId="4F551A45" w14:textId="67F81CEA">
      <w:pPr>
        <w:pStyle w:val="EndnoteText"/>
        <w:numPr>
          <w:ilvl w:val="0"/>
          <w:numId w:val="25"/>
        </w:numPr>
        <w:spacing w:after="120"/>
        <w:ind w:left="454" w:hanging="454"/>
        <w:rPr>
          <w:rFonts w:cs="Arial"/>
          <w:sz w:val="24"/>
          <w:szCs w:val="24"/>
        </w:rPr>
      </w:pPr>
      <w:r w:rsidRPr="00190191">
        <w:rPr>
          <w:rFonts w:cs="Arial"/>
          <w:sz w:val="24"/>
          <w:szCs w:val="24"/>
        </w:rPr>
        <w:t xml:space="preserve">Local Government Association. </w:t>
      </w:r>
      <w:r w:rsidRPr="00190191" w:rsidR="00780982">
        <w:rPr>
          <w:rFonts w:cs="Arial"/>
          <w:sz w:val="24"/>
          <w:szCs w:val="24"/>
        </w:rPr>
        <w:t xml:space="preserve">(2017). </w:t>
      </w:r>
      <w:r w:rsidRPr="00190191">
        <w:rPr>
          <w:rFonts w:cs="Arial"/>
          <w:sz w:val="24"/>
          <w:szCs w:val="24"/>
        </w:rPr>
        <w:t>The impact of homelessness on health: a guide for local authorities. Available at: https://www.local.gov.uk/sites/default/files/documents/22.7%20HEALTH%20AND%20HOMELESSNESS_v08_WEB_0.PDF [Accessed 7 Jul. 2023].</w:t>
      </w:r>
    </w:p>
    <w:p w:rsidRPr="00190191" w:rsidR="008F1D19" w:rsidP="00AF10D4" w:rsidRDefault="008F1D19" w14:paraId="0FB5381F" w14:textId="77777777">
      <w:pPr>
        <w:pStyle w:val="EndnoteText"/>
        <w:numPr>
          <w:ilvl w:val="0"/>
          <w:numId w:val="25"/>
        </w:numPr>
        <w:spacing w:after="120"/>
        <w:ind w:left="454" w:hanging="454"/>
        <w:rPr>
          <w:rFonts w:cs="Arial"/>
          <w:sz w:val="24"/>
          <w:szCs w:val="24"/>
        </w:rPr>
      </w:pPr>
      <w:r w:rsidRPr="00190191">
        <w:rPr>
          <w:rFonts w:cs="Arial"/>
          <w:sz w:val="24"/>
          <w:szCs w:val="24"/>
        </w:rPr>
        <w:t>Moffatt, S., Steer, M., Lawson, S., Penn, L. and O’Brien, N. (2017). Link Worker social prescribing to improve health and well-being for people with long-term conditions: qualitative study of service user perceptions. BMJ Open, [online] 7(7). doi:https://doi.org/10.1136/bmjopen-2016-015203.</w:t>
      </w:r>
    </w:p>
    <w:p w:rsidRPr="00190191" w:rsidR="00EE51C4" w:rsidP="00AF10D4" w:rsidRDefault="00AB2924" w14:paraId="273C8F05" w14:textId="7FAA72F2">
      <w:pPr>
        <w:pStyle w:val="EndnoteText"/>
        <w:numPr>
          <w:ilvl w:val="0"/>
          <w:numId w:val="25"/>
        </w:numPr>
        <w:spacing w:after="120"/>
        <w:ind w:left="454" w:hanging="454"/>
        <w:rPr>
          <w:rFonts w:cs="Arial"/>
          <w:sz w:val="24"/>
          <w:szCs w:val="24"/>
        </w:rPr>
      </w:pPr>
      <w:r w:rsidRPr="00190191">
        <w:rPr>
          <w:rFonts w:cs="Arial"/>
          <w:sz w:val="24"/>
          <w:szCs w:val="24"/>
        </w:rPr>
        <w:t>Lawlor, E.R., Cupples, M.E., Donnelly, M. and Tully, M.A. (2019). Implementing community-based health promotion in socio-economically disadvantaged areas: a qualitative study. Journal of Public Health. doi:https://doi.org/10.1093/pubmed/fdz167.</w:t>
      </w:r>
    </w:p>
    <w:p w:rsidRPr="00190191" w:rsidR="00EE51C4" w:rsidP="00AF10D4" w:rsidRDefault="009578EB" w14:paraId="4908AC05" w14:textId="029C7814">
      <w:pPr>
        <w:pStyle w:val="EndnoteText"/>
        <w:numPr>
          <w:ilvl w:val="0"/>
          <w:numId w:val="25"/>
        </w:numPr>
        <w:spacing w:after="120"/>
        <w:ind w:left="454" w:hanging="454"/>
        <w:rPr>
          <w:rFonts w:cs="Arial"/>
          <w:sz w:val="24"/>
          <w:szCs w:val="24"/>
        </w:rPr>
      </w:pPr>
      <w:r w:rsidRPr="00190191">
        <w:rPr>
          <w:rFonts w:cs="Arial"/>
          <w:sz w:val="24"/>
          <w:szCs w:val="24"/>
        </w:rPr>
        <w:t>Caló, F., Steiner, A., Millar, S. and Teasdale, S. (2019). The impact of a community</w:t>
      </w:r>
      <w:r w:rsidRPr="00190191">
        <w:rPr>
          <w:rFonts w:ascii="Cambria Math" w:hAnsi="Cambria Math" w:cs="Cambria Math"/>
          <w:sz w:val="24"/>
          <w:szCs w:val="24"/>
        </w:rPr>
        <w:t>‐</w:t>
      </w:r>
      <w:r w:rsidRPr="00190191">
        <w:rPr>
          <w:rFonts w:cs="Arial"/>
          <w:sz w:val="24"/>
          <w:szCs w:val="24"/>
        </w:rPr>
        <w:t>based music intervention on the health and well</w:t>
      </w:r>
      <w:r w:rsidRPr="00190191">
        <w:rPr>
          <w:rFonts w:ascii="Cambria Math" w:hAnsi="Cambria Math" w:cs="Cambria Math"/>
          <w:sz w:val="24"/>
          <w:szCs w:val="24"/>
        </w:rPr>
        <w:t>‐</w:t>
      </w:r>
      <w:r w:rsidRPr="00190191">
        <w:rPr>
          <w:rFonts w:cs="Arial"/>
          <w:sz w:val="24"/>
          <w:szCs w:val="24"/>
        </w:rPr>
        <w:t>being of young people: A realist evaluation. Health &amp; Social Care in the Community. doi:https://doi.org/10.1111/hsc.12931.</w:t>
      </w:r>
    </w:p>
    <w:p w:rsidRPr="00190191" w:rsidR="007C3A83" w:rsidP="00AF10D4" w:rsidRDefault="007C3A83" w14:paraId="59BEEEBB" w14:textId="02A13503">
      <w:pPr>
        <w:pStyle w:val="EndnoteText"/>
        <w:numPr>
          <w:ilvl w:val="0"/>
          <w:numId w:val="25"/>
        </w:numPr>
        <w:spacing w:after="120"/>
        <w:ind w:left="454" w:hanging="454"/>
        <w:rPr>
          <w:rFonts w:cs="Arial"/>
          <w:sz w:val="24"/>
          <w:szCs w:val="24"/>
        </w:rPr>
      </w:pPr>
      <w:r w:rsidRPr="00190191">
        <w:rPr>
          <w:rFonts w:cs="Arial"/>
          <w:sz w:val="24"/>
          <w:szCs w:val="24"/>
        </w:rPr>
        <w:t>Bond, L., Egan, M., Kearns, A. and Tannahill, C. (2013). GoWell: The challenges of evaluating regeneration as a population health intervention. Preventive Medicine, 57(6), pp.941–947. doi:https://doi.org/10.1016/j.ypmed.2013.08.007.</w:t>
      </w:r>
    </w:p>
    <w:p w:rsidRPr="00190191" w:rsidR="003B734B" w:rsidP="00AF10D4" w:rsidRDefault="00963CA3" w14:paraId="66340A8A" w14:textId="48E2982A">
      <w:pPr>
        <w:pStyle w:val="EndnoteText"/>
        <w:numPr>
          <w:ilvl w:val="0"/>
          <w:numId w:val="25"/>
        </w:numPr>
        <w:spacing w:after="120"/>
        <w:ind w:left="454" w:hanging="454"/>
        <w:rPr>
          <w:rFonts w:cs="Arial"/>
          <w:sz w:val="24"/>
          <w:szCs w:val="24"/>
        </w:rPr>
      </w:pPr>
      <w:r w:rsidRPr="00190191">
        <w:rPr>
          <w:rFonts w:cs="Arial"/>
          <w:sz w:val="24"/>
          <w:szCs w:val="24"/>
        </w:rPr>
        <w:t>Fagg, J., Chadwick, P., Cole, T.J., Cummins, S., Goldstein, H., Lewis, H., Morris, S., Radley, D., Sacher, P. and Law, C. (2014). From trial to population: a study of a family-based community intervention for childhood overweight implemented at scale. International Journal of Obesity (2005), [online] 38(10), pp.1343–1349. doi:https://doi.org/10.1038/ijo.2014.103.</w:t>
      </w:r>
    </w:p>
    <w:p w:rsidRPr="00190191" w:rsidR="0089602D" w:rsidP="00AF10D4" w:rsidRDefault="0089602D" w14:paraId="71E50CC3" w14:textId="3F4A5E51">
      <w:pPr>
        <w:pStyle w:val="EndnoteText"/>
        <w:numPr>
          <w:ilvl w:val="0"/>
          <w:numId w:val="25"/>
        </w:numPr>
        <w:spacing w:after="120"/>
        <w:ind w:left="454" w:hanging="454"/>
        <w:rPr>
          <w:rFonts w:cs="Arial"/>
          <w:sz w:val="24"/>
          <w:szCs w:val="24"/>
        </w:rPr>
      </w:pPr>
      <w:r w:rsidRPr="00190191">
        <w:rPr>
          <w:rFonts w:cs="Arial"/>
          <w:sz w:val="24"/>
          <w:szCs w:val="24"/>
        </w:rPr>
        <w:t>The King’s Fund (2019). A citizen-led approach to health and care: lessons from the Wigan Deal. [online] Available at: https://www.kingsfund.org.uk/sites/default/files/2019-07/A%20citizen-led%20report%20final%20%2819.6.19%29.pdf [Accessed 7 Jul. 2023].</w:t>
      </w:r>
    </w:p>
    <w:p w:rsidRPr="00190191" w:rsidR="003B734B" w:rsidP="00AF10D4" w:rsidRDefault="003B734B" w14:paraId="43F390A8" w14:textId="1104783C">
      <w:pPr>
        <w:pStyle w:val="EndnoteText"/>
        <w:numPr>
          <w:ilvl w:val="0"/>
          <w:numId w:val="25"/>
        </w:numPr>
        <w:spacing w:after="120"/>
        <w:ind w:left="454" w:hanging="454"/>
        <w:rPr>
          <w:rFonts w:cs="Arial"/>
          <w:sz w:val="24"/>
          <w:szCs w:val="24"/>
        </w:rPr>
      </w:pPr>
      <w:r w:rsidRPr="00190191">
        <w:rPr>
          <w:rFonts w:cs="Arial"/>
          <w:sz w:val="24"/>
          <w:szCs w:val="24"/>
        </w:rPr>
        <w:t>Hayes, C.B., Patterson, J., Castello, S., Burke, E., O’Connell, N., Darker, C.D., Bauld, L., Vance, J., Ciblis, A., Dobbie, F., Loudon, K., Devane, D. and Dougall, N. (2021). Peer-Delivery of a Gender-Specific Smoking Cessation Intervention for Women Living in Disadvantaged Communities in Ireland We Can Quit2 (WCQ2)—A Pilot Cluster Randomized Controlled Trial. Nicotine &amp; Tobacco Research, [online] 24(4), pp.564–573. doi:https://doi.org/10.1093/ntr/ntab242.</w:t>
      </w:r>
    </w:p>
    <w:p w:rsidRPr="00190191" w:rsidR="008C5AEB" w:rsidP="00AF10D4" w:rsidRDefault="008C5AEB" w14:paraId="40F6D01D" w14:textId="4BC707F9">
      <w:pPr>
        <w:pStyle w:val="EndnoteText"/>
        <w:numPr>
          <w:ilvl w:val="0"/>
          <w:numId w:val="25"/>
        </w:numPr>
        <w:spacing w:after="120"/>
        <w:ind w:left="454" w:hanging="454"/>
        <w:rPr>
          <w:rFonts w:cs="Arial"/>
          <w:sz w:val="24"/>
          <w:szCs w:val="24"/>
        </w:rPr>
      </w:pPr>
      <w:r w:rsidRPr="00190191">
        <w:rPr>
          <w:rFonts w:cs="Arial"/>
          <w:sz w:val="24"/>
          <w:szCs w:val="24"/>
        </w:rPr>
        <w:t>Inch, J., Notman, F., Watson, M., Green, D., Baird, R., Ferguson, J., Hind, C., McKinstry, B., Strath, A. and Bond, C. (2017). Tele-pharmacy in rural Scotland: a proof of concept study. International Journal of Pharmacy Practice, 25(3), pp.210–219. doi:https://doi.org/10.1111/ijpp.12376.</w:t>
      </w:r>
    </w:p>
    <w:p w:rsidRPr="00190191" w:rsidR="008C5AEB" w:rsidP="00AF10D4" w:rsidRDefault="00AE4EB9" w14:paraId="2D89B692" w14:textId="07900D5D">
      <w:pPr>
        <w:pStyle w:val="EndnoteText"/>
        <w:numPr>
          <w:ilvl w:val="0"/>
          <w:numId w:val="25"/>
        </w:numPr>
        <w:spacing w:after="120"/>
        <w:ind w:left="454" w:hanging="454"/>
        <w:rPr>
          <w:rFonts w:cs="Arial"/>
          <w:sz w:val="24"/>
          <w:szCs w:val="24"/>
        </w:rPr>
      </w:pPr>
      <w:r w:rsidRPr="00190191">
        <w:rPr>
          <w:rFonts w:cs="Arial"/>
          <w:sz w:val="24"/>
          <w:szCs w:val="24"/>
        </w:rPr>
        <w:t>Garrett, J., Worrall, S. and Sweeney, S. (2020). Reducing Health Inequalities for People Living with Frailty: A resource for commissioners, service providers and health, care and support staff. [online] Available at: https://www.gypsy-traveller.org/wp-content/uploads/2020/10/health_ineq_final.pdf [Accessed 7 Jul. 2023].</w:t>
      </w:r>
    </w:p>
    <w:p w:rsidRPr="00190191" w:rsidR="009C1054" w:rsidP="00AF10D4" w:rsidRDefault="009C1054" w14:paraId="0B6C1B5C" w14:textId="08A6753B">
      <w:pPr>
        <w:pStyle w:val="EndnoteText"/>
        <w:numPr>
          <w:ilvl w:val="0"/>
          <w:numId w:val="25"/>
        </w:numPr>
        <w:spacing w:after="120"/>
        <w:ind w:left="454" w:hanging="454"/>
        <w:rPr>
          <w:rFonts w:cs="Arial"/>
          <w:sz w:val="24"/>
          <w:szCs w:val="24"/>
        </w:rPr>
      </w:pPr>
      <w:r w:rsidRPr="00190191">
        <w:rPr>
          <w:rFonts w:cs="Arial"/>
          <w:sz w:val="24"/>
          <w:szCs w:val="24"/>
        </w:rPr>
        <w:t>Burns, J., Conway, D.I., Gnich, W. and Macpherson, L.M.D. (2021). A systematic review of interventions to link families with preschool children from healthcare services to community-based support. Journal of Public Health, 43(2), pp.e224–e235. doi:https://doi.org/10.1093/pubmed/fdaa242.</w:t>
      </w:r>
    </w:p>
    <w:p w:rsidRPr="00190191" w:rsidR="009C1054" w:rsidP="00AF10D4" w:rsidRDefault="009C1054" w14:paraId="74EC0D68" w14:textId="2B338D53">
      <w:pPr>
        <w:pStyle w:val="EndnoteText"/>
        <w:numPr>
          <w:ilvl w:val="0"/>
          <w:numId w:val="25"/>
        </w:numPr>
        <w:spacing w:after="120"/>
        <w:ind w:left="454" w:hanging="454"/>
        <w:rPr>
          <w:rFonts w:cs="Arial"/>
          <w:sz w:val="24"/>
          <w:szCs w:val="24"/>
        </w:rPr>
      </w:pPr>
      <w:r w:rsidRPr="00190191">
        <w:rPr>
          <w:rFonts w:cs="Arial"/>
          <w:sz w:val="24"/>
          <w:szCs w:val="24"/>
        </w:rPr>
        <w:t>Codjoe, L., Barber, S., Ahuja, S., Thornicroft, G., Henderson, C., Lempp, H. and N’Danga-Koroma, J. (2021). Evidence for interventions to promote mental health and reduce stigma in Black faith communities: systematic review. Social Psychiatry and Psychiatric Epidemiology, 56(6), pp.895–911. doi:https://doi.org/10.1007/s00127-021-02068-y.</w:t>
      </w:r>
    </w:p>
    <w:p w:rsidRPr="00190191" w:rsidR="00E4790D" w:rsidP="00AF10D4" w:rsidRDefault="00E4790D" w14:paraId="57F7FAE7" w14:textId="3AD9BA4A">
      <w:pPr>
        <w:pStyle w:val="EndnoteText"/>
        <w:numPr>
          <w:ilvl w:val="0"/>
          <w:numId w:val="25"/>
        </w:numPr>
        <w:spacing w:after="120"/>
        <w:ind w:left="454" w:hanging="454"/>
        <w:rPr>
          <w:rFonts w:cs="Arial"/>
          <w:sz w:val="24"/>
          <w:szCs w:val="24"/>
        </w:rPr>
      </w:pPr>
      <w:r w:rsidRPr="00190191">
        <w:rPr>
          <w:rFonts w:cs="Arial"/>
          <w:sz w:val="24"/>
          <w:szCs w:val="24"/>
        </w:rPr>
        <w:t>Lunt, N., Bainbridge, L. and Rippon, S. (2020). Strengths, assets and place – The emergence of Local Area Coordination initiatives in England and Wales. Journal of Social Work, p.146801732091817. doi:https://doi.org/10.1177/1468017320918174.</w:t>
      </w:r>
    </w:p>
    <w:p w:rsidRPr="00190191" w:rsidR="00471981" w:rsidP="00AF10D4" w:rsidRDefault="00471981" w14:paraId="78B355AE" w14:textId="6DF480A4">
      <w:pPr>
        <w:pStyle w:val="EndnoteText"/>
        <w:numPr>
          <w:ilvl w:val="0"/>
          <w:numId w:val="25"/>
        </w:numPr>
        <w:spacing w:after="120"/>
        <w:ind w:left="454" w:hanging="454"/>
        <w:rPr>
          <w:rFonts w:cs="Arial"/>
          <w:sz w:val="24"/>
          <w:szCs w:val="24"/>
        </w:rPr>
      </w:pPr>
      <w:r w:rsidRPr="00190191">
        <w:rPr>
          <w:rFonts w:cs="Arial"/>
          <w:sz w:val="24"/>
          <w:szCs w:val="24"/>
        </w:rPr>
        <w:t>Begh, R.A., Aveyard, P., Upton, P., Bhopal, R.S., White, M., Amos, A., Prescott, R.J., Bedi, R., Barton, P., Fletcher, M., Gill, P., Zaidi, Q. and Sheikh, A. (2011). Promoting smoking cessation in Pakistani and Bangladeshi men in the UK: pilot cluster randomised controlled trial of trained community outreach workers. Trials, 12(1). doi:https://doi.org/10.1186/1745-6215-12-197.</w:t>
      </w:r>
    </w:p>
    <w:p w:rsidRPr="00190191" w:rsidR="009C1054" w:rsidP="00AF10D4" w:rsidRDefault="00C9529F" w14:paraId="06EBF191" w14:textId="4910EFA4">
      <w:pPr>
        <w:pStyle w:val="EndnoteText"/>
        <w:numPr>
          <w:ilvl w:val="0"/>
          <w:numId w:val="25"/>
        </w:numPr>
        <w:spacing w:after="120"/>
        <w:ind w:left="454" w:hanging="454"/>
        <w:rPr>
          <w:rFonts w:cs="Arial"/>
          <w:sz w:val="24"/>
          <w:szCs w:val="24"/>
        </w:rPr>
      </w:pPr>
      <w:r w:rsidRPr="00190191">
        <w:rPr>
          <w:rFonts w:cs="Arial"/>
          <w:sz w:val="24"/>
          <w:szCs w:val="24"/>
        </w:rPr>
        <w:t>Berry, V., Mitchell, S.B., Blower, S., Whittaker, K., Wilkinson, K., McGilloway, S., Mason-Jones, A., Carr, R.M. and Bywater, T. (2022). Barriers and facilitators in the delivery of a proportionate universal parenting program model (E-SEE Steps) in community family services. PLoS ONE, [online] 17(6), p.e0265946. doi:https://doi.org/10.1371/journal.pone.0265946.</w:t>
      </w:r>
    </w:p>
    <w:p w:rsidRPr="00190191" w:rsidR="009812FF" w:rsidP="00AF10D4" w:rsidRDefault="009812FF" w14:paraId="68550BDC" w14:textId="4EECF735">
      <w:pPr>
        <w:pStyle w:val="EndnoteText"/>
        <w:numPr>
          <w:ilvl w:val="0"/>
          <w:numId w:val="25"/>
        </w:numPr>
        <w:spacing w:after="120"/>
        <w:ind w:left="454" w:hanging="454"/>
        <w:rPr>
          <w:rFonts w:cs="Arial"/>
          <w:sz w:val="24"/>
          <w:szCs w:val="24"/>
        </w:rPr>
      </w:pPr>
      <w:r w:rsidRPr="00190191">
        <w:rPr>
          <w:rFonts w:cs="Arial"/>
          <w:sz w:val="24"/>
          <w:szCs w:val="24"/>
        </w:rPr>
        <w:t>Curl A., Kearns A, Mason P, Egan, M., Tannahill, C. and Ellaway, A. (2015). Physical and mental health outcomes following housing improvements: evidence from the GoWell study.</w:t>
      </w:r>
      <w:r w:rsidRPr="000F7A4D">
        <w:rPr>
          <w:rFonts w:cs="Arial"/>
          <w:sz w:val="24"/>
          <w:szCs w:val="24"/>
        </w:rPr>
        <w:t xml:space="preserve"> </w:t>
      </w:r>
      <w:r w:rsidRPr="00190191">
        <w:rPr>
          <w:rFonts w:cs="Arial"/>
          <w:sz w:val="24"/>
          <w:szCs w:val="24"/>
        </w:rPr>
        <w:t>Journal of Epidemiology and Community Health, 69(1), pp. 12–19. doi:https://doi.org 10.1136/jech-2014-204064.</w:t>
      </w:r>
    </w:p>
    <w:p w:rsidRPr="00190191" w:rsidR="009812FF" w:rsidP="00AF10D4" w:rsidRDefault="009812FF" w14:paraId="201DEC3D" w14:textId="29BE5DF9">
      <w:pPr>
        <w:pStyle w:val="EndnoteText"/>
        <w:numPr>
          <w:ilvl w:val="0"/>
          <w:numId w:val="25"/>
        </w:numPr>
        <w:spacing w:after="120"/>
        <w:ind w:left="454" w:hanging="454"/>
        <w:rPr>
          <w:rFonts w:cs="Arial"/>
          <w:sz w:val="24"/>
          <w:szCs w:val="24"/>
        </w:rPr>
      </w:pPr>
      <w:r w:rsidRPr="00190191">
        <w:rPr>
          <w:rFonts w:cs="Arial"/>
          <w:sz w:val="24"/>
          <w:szCs w:val="24"/>
        </w:rPr>
        <w:t xml:space="preserve">Egan, M., Kearns, A., Katikireddi, S., Curl, A., Lawson, K. and Tannahill, C. </w:t>
      </w:r>
      <w:r w:rsidRPr="00190191" w:rsidR="00FD395D">
        <w:rPr>
          <w:rFonts w:cs="Arial"/>
          <w:sz w:val="24"/>
          <w:szCs w:val="24"/>
        </w:rPr>
        <w:t xml:space="preserve">(2016). </w:t>
      </w:r>
      <w:r w:rsidRPr="00190191">
        <w:rPr>
          <w:rFonts w:cs="Arial"/>
          <w:sz w:val="24"/>
          <w:szCs w:val="24"/>
        </w:rPr>
        <w:t>Proportionate universalism in practice? A quasi-experimental study (GoWell) of a UK neighbourhood renewal programme's impact on health inequalities</w:t>
      </w:r>
      <w:r w:rsidRPr="00190191" w:rsidR="00FD395D">
        <w:rPr>
          <w:rFonts w:cs="Arial"/>
          <w:sz w:val="24"/>
          <w:szCs w:val="24"/>
        </w:rPr>
        <w:t>. Social Science &amp; Medicine, 152, pp. 41–49. doi:https://doi.org/10.1016/j.socscimed.2016.01.026.</w:t>
      </w:r>
    </w:p>
    <w:p w:rsidRPr="00190191" w:rsidR="00FD395D" w:rsidP="00AF10D4" w:rsidRDefault="006E2736" w14:paraId="3763DFC2" w14:textId="2BC046B4">
      <w:pPr>
        <w:pStyle w:val="EndnoteText"/>
        <w:numPr>
          <w:ilvl w:val="0"/>
          <w:numId w:val="25"/>
        </w:numPr>
        <w:spacing w:after="120"/>
        <w:ind w:left="454" w:hanging="454"/>
        <w:rPr>
          <w:rFonts w:cs="Arial"/>
          <w:sz w:val="24"/>
          <w:szCs w:val="24"/>
        </w:rPr>
      </w:pPr>
      <w:r w:rsidRPr="00190191">
        <w:rPr>
          <w:rFonts w:cs="Arial"/>
          <w:sz w:val="24"/>
          <w:szCs w:val="24"/>
        </w:rPr>
        <w:t xml:space="preserve">Dowrick, C., Bower, P., Chew-Graham, C., Lovell, K., Edwards, S., Lamb, J., Bristow, K., Gabbay, M., Burroughs, H., Beatty, S., Waheed, W., Hann, M. and Gask, L. (2016). </w:t>
      </w:r>
      <w:r w:rsidRPr="00190191" w:rsidR="00FD395D">
        <w:rPr>
          <w:rFonts w:cs="Arial"/>
          <w:sz w:val="24"/>
          <w:szCs w:val="24"/>
        </w:rPr>
        <w:t>Evaluating a complex model designed to increase access to high quality primary mental health care for under-served groups: a multi-method study</w:t>
      </w:r>
      <w:r w:rsidRPr="00190191">
        <w:rPr>
          <w:rFonts w:cs="Arial"/>
          <w:sz w:val="24"/>
          <w:szCs w:val="24"/>
        </w:rPr>
        <w:t>. BMC Health Services Research, 16(1). doi:https://doi.org/10.1186/s12913-016-1298-5.</w:t>
      </w:r>
    </w:p>
    <w:p w:rsidRPr="00190191" w:rsidR="00C12BD7" w:rsidP="00AF10D4" w:rsidRDefault="00C12BD7" w14:paraId="7E49AD7C" w14:textId="28FFD4E8">
      <w:pPr>
        <w:pStyle w:val="EndnoteText"/>
        <w:numPr>
          <w:ilvl w:val="0"/>
          <w:numId w:val="25"/>
        </w:numPr>
        <w:spacing w:after="120"/>
        <w:ind w:left="454" w:hanging="454"/>
        <w:rPr>
          <w:rFonts w:cs="Arial"/>
          <w:sz w:val="24"/>
          <w:szCs w:val="24"/>
        </w:rPr>
      </w:pPr>
      <w:r w:rsidRPr="00190191">
        <w:rPr>
          <w:rFonts w:cs="Arial"/>
          <w:sz w:val="24"/>
          <w:szCs w:val="24"/>
        </w:rPr>
        <w:t>Smith, S.G., Rendell, H., George, H. and Power, E. (2014). Improving cancer control through a community-based cancer awareness initiative. Preventive Medicine, 60, pp.121–123. doi:https://doi.org/10.1016/j.ypmed.2013.11.002.</w:t>
      </w:r>
    </w:p>
    <w:p w:rsidRPr="00190191" w:rsidR="00705A30" w:rsidP="00AF10D4" w:rsidRDefault="00705A30" w14:paraId="15ACB48F" w14:textId="17E69D29">
      <w:pPr>
        <w:pStyle w:val="EndnoteText"/>
        <w:numPr>
          <w:ilvl w:val="0"/>
          <w:numId w:val="25"/>
        </w:numPr>
        <w:spacing w:after="120"/>
        <w:ind w:left="454" w:hanging="454"/>
        <w:rPr>
          <w:rFonts w:cs="Arial"/>
          <w:sz w:val="24"/>
          <w:szCs w:val="24"/>
        </w:rPr>
      </w:pPr>
      <w:r w:rsidRPr="00190191">
        <w:rPr>
          <w:rFonts w:cs="Arial"/>
          <w:sz w:val="24"/>
          <w:szCs w:val="24"/>
        </w:rPr>
        <w:t>Brown, J., Luderowski, A., Namusisi-Riley, J., Moore-Shelley, I., Bolton, M. and Bolton, D. (2020). Can a Community-Led Intervention Offering Social Support and Health Education Improve Maternal Health? A Repeated Measures Evaluation of the PACT Project Run in a Socially Deprived London Borough. International Journal of Environmental Research and Public Health, [online] 17(8), p.2795. doi:https://doi.org/10.3390/ijerph17082795.</w:t>
      </w:r>
    </w:p>
    <w:p w:rsidRPr="00190191" w:rsidR="00705A30" w:rsidP="00AF10D4" w:rsidRDefault="00705A30" w14:paraId="0527F155" w14:textId="22ED0741">
      <w:pPr>
        <w:pStyle w:val="EndnoteText"/>
        <w:numPr>
          <w:ilvl w:val="0"/>
          <w:numId w:val="25"/>
        </w:numPr>
        <w:spacing w:after="120"/>
        <w:ind w:left="454" w:hanging="454"/>
        <w:rPr>
          <w:rFonts w:cs="Arial"/>
          <w:sz w:val="24"/>
          <w:szCs w:val="24"/>
        </w:rPr>
      </w:pPr>
      <w:r w:rsidRPr="00190191">
        <w:rPr>
          <w:rFonts w:cs="Arial"/>
          <w:sz w:val="24"/>
          <w:szCs w:val="24"/>
        </w:rPr>
        <w:t>Hafford-Letchfield, T., Simpson, P., Willis, P.B. and Almack, K. (2017). Developing inclusive residential care for older lesbian, gay, bisexual and trans (LGBT) people: An evaluation of the</w:t>
      </w:r>
      <w:r w:rsidRPr="00190191" w:rsidR="00413772">
        <w:rPr>
          <w:rFonts w:cs="Arial"/>
          <w:sz w:val="24"/>
          <w:szCs w:val="24"/>
        </w:rPr>
        <w:t xml:space="preserve"> </w:t>
      </w:r>
      <w:r w:rsidRPr="00190191">
        <w:rPr>
          <w:rFonts w:cs="Arial"/>
          <w:sz w:val="24"/>
          <w:szCs w:val="24"/>
        </w:rPr>
        <w:t>Care Home Challenge</w:t>
      </w:r>
      <w:r w:rsidRPr="00190191" w:rsidR="00413772">
        <w:rPr>
          <w:rFonts w:cs="Arial"/>
          <w:sz w:val="24"/>
          <w:szCs w:val="24"/>
        </w:rPr>
        <w:t xml:space="preserve"> </w:t>
      </w:r>
      <w:r w:rsidRPr="00190191">
        <w:rPr>
          <w:rFonts w:cs="Arial"/>
          <w:sz w:val="24"/>
          <w:szCs w:val="24"/>
        </w:rPr>
        <w:t>action research project. Health &amp; Social Care in the Community, 26(2), pp.e312–e320. doi:https://doi.org/10.1111/hsc.12521.</w:t>
      </w:r>
    </w:p>
    <w:p w:rsidRPr="00190191" w:rsidR="00E03EF3" w:rsidP="00AF10D4" w:rsidRDefault="00E03EF3" w14:paraId="57576CA1" w14:textId="6E0D16EA">
      <w:pPr>
        <w:pStyle w:val="EndnoteText"/>
        <w:numPr>
          <w:ilvl w:val="0"/>
          <w:numId w:val="25"/>
        </w:numPr>
        <w:spacing w:after="120"/>
        <w:ind w:left="454" w:hanging="454"/>
        <w:rPr>
          <w:rFonts w:cs="Arial"/>
          <w:sz w:val="24"/>
          <w:szCs w:val="24"/>
        </w:rPr>
      </w:pPr>
      <w:r w:rsidRPr="00190191">
        <w:rPr>
          <w:rFonts w:cs="Arial"/>
          <w:sz w:val="24"/>
          <w:szCs w:val="24"/>
        </w:rPr>
        <w:t>Lwembe, S., Green, S.A., Chigwende, J., Ojwang, T. and Dennis, R. (2016). Co-production as an approach to developing stakeholder partnerships to reduce mental health inequalities: an evaluation of a pilot service. Primary Health Care Research &amp; Development, 18(01), pp.14–23. doi:https://doi.org/10.1017/s1463423616000141.</w:t>
      </w:r>
    </w:p>
    <w:p w:rsidR="00013412" w:rsidP="00AF10D4" w:rsidRDefault="00013412" w14:paraId="319A9E31" w14:textId="1D573622">
      <w:pPr>
        <w:pStyle w:val="EndnoteText"/>
        <w:numPr>
          <w:ilvl w:val="0"/>
          <w:numId w:val="25"/>
        </w:numPr>
        <w:spacing w:after="120"/>
        <w:ind w:left="454" w:hanging="454"/>
        <w:rPr>
          <w:rFonts w:cs="Arial"/>
          <w:sz w:val="24"/>
          <w:szCs w:val="24"/>
        </w:rPr>
      </w:pPr>
      <w:r w:rsidRPr="00190191">
        <w:rPr>
          <w:rFonts w:cs="Arial"/>
          <w:sz w:val="24"/>
          <w:szCs w:val="24"/>
        </w:rPr>
        <w:t xml:space="preserve">Whitty, C. (2021). Chief Medical Officer’s Annual Report 2021 Health in Coastal Communities. [online] Available at: </w:t>
      </w:r>
      <w:r w:rsidRPr="00190191" w:rsidR="0027152D">
        <w:rPr>
          <w:rFonts w:cs="Arial"/>
          <w:sz w:val="24"/>
          <w:szCs w:val="24"/>
        </w:rPr>
        <w:t>https://assets.publishing.service.gov.uk/government/uploads/system/uploads/attachment_data/file/1005216/cmo-annual_report-2021-health-in-coastal-communities-accessible.pdf [Accessed 7 Jul. 2023].</w:t>
      </w:r>
    </w:p>
    <w:p w:rsidRPr="00800368" w:rsidR="00800368" w:rsidP="00AF10D4" w:rsidRDefault="00800368" w14:paraId="35C47FB5" w14:textId="56DCFE03">
      <w:pPr>
        <w:pStyle w:val="EndnoteText"/>
        <w:numPr>
          <w:ilvl w:val="0"/>
          <w:numId w:val="25"/>
        </w:numPr>
        <w:spacing w:after="120"/>
        <w:ind w:left="454" w:hanging="454"/>
        <w:rPr>
          <w:rFonts w:cs="Arial"/>
          <w:sz w:val="24"/>
          <w:szCs w:val="24"/>
        </w:rPr>
      </w:pPr>
      <w:r w:rsidRPr="00190191">
        <w:rPr>
          <w:rFonts w:cs="Arial"/>
          <w:sz w:val="24"/>
          <w:szCs w:val="24"/>
        </w:rPr>
        <w:t>Mantovani, N., Pizzolati, M. and Gillard, S. (2015). Engaging communities to improve mental health in African and African Caribbean groups: a qualitative study evaluating the role of community well-being champions. Health &amp; Social Care in the Community, 25(1), pp.167–176. doi:https://doi.org/10.1111/hsc.12288.</w:t>
      </w:r>
    </w:p>
    <w:p w:rsidRPr="00190191" w:rsidR="000D1787" w:rsidP="00AF10D4" w:rsidRDefault="000D1787" w14:paraId="162C6398" w14:textId="56D2FBCC">
      <w:pPr>
        <w:pStyle w:val="EndnoteText"/>
        <w:numPr>
          <w:ilvl w:val="0"/>
          <w:numId w:val="25"/>
        </w:numPr>
        <w:spacing w:after="120"/>
        <w:ind w:left="454" w:hanging="454"/>
        <w:rPr>
          <w:rFonts w:cs="Arial"/>
          <w:sz w:val="24"/>
          <w:szCs w:val="24"/>
        </w:rPr>
      </w:pPr>
      <w:r w:rsidRPr="00190191">
        <w:rPr>
          <w:rFonts w:cs="Arial"/>
          <w:sz w:val="24"/>
          <w:szCs w:val="24"/>
        </w:rPr>
        <w:t>Lamb, J., Dowrick, C., Burroughs, H., Beatty, S., Edwards, S., Bristow, K., Clarke, P., Hammond, J., Waheed, W., Gabbay, M. and Gask, L. (2014). Community Engagement in a complex intervention to improve access to primary mental health care for hard-to-reach groups. Health Expectations, [online] 18(6), pp.2865–2879. doi:https://doi.org/10.1111/hex.12272.</w:t>
      </w:r>
    </w:p>
    <w:p w:rsidRPr="00190191" w:rsidR="004B6120" w:rsidP="00AF10D4" w:rsidRDefault="004B6120" w14:paraId="7712A2F6" w14:textId="1F94350E">
      <w:pPr>
        <w:pStyle w:val="EndnoteText"/>
        <w:numPr>
          <w:ilvl w:val="0"/>
          <w:numId w:val="25"/>
        </w:numPr>
        <w:spacing w:after="120"/>
        <w:ind w:left="454" w:hanging="454"/>
        <w:rPr>
          <w:rFonts w:cs="Arial"/>
          <w:sz w:val="24"/>
          <w:szCs w:val="24"/>
        </w:rPr>
      </w:pPr>
      <w:r w:rsidRPr="00190191">
        <w:rPr>
          <w:rFonts w:cs="Arial"/>
          <w:sz w:val="24"/>
          <w:szCs w:val="24"/>
        </w:rPr>
        <w:t>Snooks, H.A., Evans, B.A., Cohen, D., Nugent, M., Rapport, F., Skone, J., Meredith, A., Davies, T. and O’Sullivan, D. (2011). Costs and effects of a ‘healthy living’ approach to community development in two deprived communities: findings from a mixed methods study. BMC Public Health, 11(1). doi:https://doi.org/10.1186/1471-2458-11-25.</w:t>
      </w:r>
    </w:p>
    <w:p w:rsidRPr="00190191" w:rsidR="0006287B" w:rsidP="00AF10D4" w:rsidRDefault="0006287B" w14:paraId="13C4277D" w14:textId="28FE7BF8">
      <w:pPr>
        <w:pStyle w:val="EndnoteText"/>
        <w:numPr>
          <w:ilvl w:val="0"/>
          <w:numId w:val="25"/>
        </w:numPr>
        <w:spacing w:after="120"/>
        <w:ind w:left="454" w:hanging="454"/>
        <w:rPr>
          <w:rFonts w:cs="Arial"/>
          <w:sz w:val="24"/>
          <w:szCs w:val="24"/>
        </w:rPr>
      </w:pPr>
      <w:r w:rsidRPr="00190191">
        <w:rPr>
          <w:rFonts w:cs="Arial"/>
          <w:sz w:val="24"/>
          <w:szCs w:val="24"/>
        </w:rPr>
        <w:t>Wright</w:t>
      </w:r>
      <w:r w:rsidRPr="00190191">
        <w:rPr>
          <w:rFonts w:ascii="Cambria Math" w:hAnsi="Cambria Math" w:cs="Cambria Math"/>
          <w:sz w:val="24"/>
          <w:szCs w:val="24"/>
        </w:rPr>
        <w:t>‐</w:t>
      </w:r>
      <w:r w:rsidRPr="00190191">
        <w:rPr>
          <w:rFonts w:cs="Arial"/>
          <w:sz w:val="24"/>
          <w:szCs w:val="24"/>
        </w:rPr>
        <w:t>Bevans, K., Walker, A. and Vosper, E. (2020). Why disadvantaged older adults engage in community consultation: A world café study. Journal of Community &amp; Applied Social Psychology. doi:https://doi.org/10.1002/casp.2467.</w:t>
      </w:r>
    </w:p>
    <w:p w:rsidRPr="00190191" w:rsidR="0006287B" w:rsidP="00AF10D4" w:rsidRDefault="0006287B" w14:paraId="45E69B1B" w14:textId="56DCC45A">
      <w:pPr>
        <w:pStyle w:val="EndnoteText"/>
        <w:numPr>
          <w:ilvl w:val="0"/>
          <w:numId w:val="25"/>
        </w:numPr>
        <w:spacing w:after="120"/>
        <w:ind w:left="454" w:hanging="454"/>
        <w:rPr>
          <w:rFonts w:cs="Arial"/>
          <w:sz w:val="24"/>
          <w:szCs w:val="24"/>
        </w:rPr>
      </w:pPr>
      <w:r w:rsidRPr="00190191">
        <w:rPr>
          <w:rFonts w:cs="Arial"/>
          <w:sz w:val="24"/>
          <w:szCs w:val="24"/>
        </w:rPr>
        <w:t>Caperon, L., Saville, F. and Ahern, S. (2022). Developing a socio-ecological model for community engagement in a health programme in an underserved urban area. PLOS ONE, [online] 17(9), p.e0275092. doi:https://doi.org/10.1371/journal.pone.0275092.</w:t>
      </w:r>
    </w:p>
    <w:p w:rsidRPr="00190191" w:rsidR="00471604" w:rsidP="00AF10D4" w:rsidRDefault="00471604" w14:paraId="6E659191" w14:textId="3E28EEF7">
      <w:pPr>
        <w:pStyle w:val="EndnoteText"/>
        <w:numPr>
          <w:ilvl w:val="0"/>
          <w:numId w:val="25"/>
        </w:numPr>
        <w:spacing w:after="120"/>
        <w:ind w:left="454" w:hanging="454"/>
        <w:rPr>
          <w:rFonts w:cs="Arial"/>
          <w:sz w:val="24"/>
          <w:szCs w:val="24"/>
        </w:rPr>
      </w:pPr>
      <w:r w:rsidRPr="00190191">
        <w:rPr>
          <w:rFonts w:cs="Arial"/>
          <w:sz w:val="24"/>
          <w:szCs w:val="24"/>
        </w:rPr>
        <w:t>Carlisle, S. (2010). Tackling health inequalities and social exclusion through partnership and community engagement? A reality check for policy and practice aspirations from a Social Inclusion Partnership in Scotland. Critical Public Health, 20(1), pp.117–127. doi:https://doi.org/10.1080/09581590802277341.</w:t>
      </w:r>
    </w:p>
    <w:p w:rsidRPr="00190191" w:rsidR="00471604" w:rsidP="00AF10D4" w:rsidRDefault="00336C6C" w14:paraId="43645871" w14:textId="49C9426D">
      <w:pPr>
        <w:pStyle w:val="EndnoteText"/>
        <w:numPr>
          <w:ilvl w:val="0"/>
          <w:numId w:val="25"/>
        </w:numPr>
        <w:spacing w:after="120"/>
        <w:ind w:left="454" w:hanging="454"/>
        <w:rPr>
          <w:rFonts w:cs="Arial"/>
          <w:sz w:val="24"/>
          <w:szCs w:val="24"/>
        </w:rPr>
      </w:pPr>
      <w:r w:rsidRPr="00190191">
        <w:rPr>
          <w:rFonts w:cs="Arial"/>
          <w:sz w:val="24"/>
          <w:szCs w:val="24"/>
        </w:rPr>
        <w:t>Stansfield, J., South, J. and Mapplethorpe, T. (2020). What are the elements of a whole system approach to community-centred public health? A qualitative study with public health leaders in England’s local authority areas. BMJ Open, [online] 10(8), p.e036044. doi:https://doi.org/10.1136/bmjopen-2019-036044.</w:t>
      </w:r>
    </w:p>
    <w:p w:rsidRPr="00190191" w:rsidR="008C0CDC" w:rsidP="00AF10D4" w:rsidRDefault="008C0CDC" w14:paraId="49062C22" w14:textId="174AF137">
      <w:pPr>
        <w:pStyle w:val="EndnoteText"/>
        <w:numPr>
          <w:ilvl w:val="0"/>
          <w:numId w:val="25"/>
        </w:numPr>
        <w:spacing w:after="120"/>
        <w:ind w:left="454" w:hanging="454"/>
        <w:rPr>
          <w:rFonts w:cs="Arial"/>
          <w:sz w:val="24"/>
          <w:szCs w:val="24"/>
        </w:rPr>
      </w:pPr>
      <w:r w:rsidRPr="00190191">
        <w:rPr>
          <w:rFonts w:cs="Arial"/>
          <w:sz w:val="24"/>
          <w:szCs w:val="24"/>
        </w:rPr>
        <w:t>Dickerson, J., Bird, P.K., Bryant, M., Dharni, N., Bridges, S., Willan, K., Ahern, S., Dunn, A., Nielsen, D., Uphoff, E.P., Bywater, T., Bowyer-Crane, C., Sahota, P., Small, N., Howell, M., Thornton, G., Pickett, K.E., McEachan, R.R.C. and Wright, J. (2019). Integrating research and system-wide practice in public health: lessons learnt from Better Start Bradford. BMC Public Health, 19(1). doi:https://doi.org/10.1186/s12889-019-6554-2.</w:t>
      </w:r>
    </w:p>
    <w:p w:rsidRPr="00190191" w:rsidR="00311C51" w:rsidP="00AF10D4" w:rsidRDefault="00756F00" w14:paraId="4B9109A6" w14:textId="600474AD">
      <w:pPr>
        <w:pStyle w:val="EndnoteText"/>
        <w:numPr>
          <w:ilvl w:val="0"/>
          <w:numId w:val="25"/>
        </w:numPr>
        <w:spacing w:after="120"/>
        <w:ind w:left="454" w:hanging="454"/>
        <w:rPr>
          <w:rFonts w:cs="Arial"/>
          <w:sz w:val="24"/>
          <w:szCs w:val="24"/>
        </w:rPr>
      </w:pPr>
      <w:r w:rsidRPr="00190191">
        <w:rPr>
          <w:rFonts w:cs="Arial"/>
          <w:sz w:val="24"/>
          <w:szCs w:val="24"/>
        </w:rPr>
        <w:t>The King’s Fund (2021). Ethnic health inequalities and the NHS Driving progress in a changing system. [online] Available at: https://www.nhsrho.org/wp-content/uploads/2021/06/Ethnic-Health-Inequalities-Kings-Fund-Report.pdf [Accessed 7 Jul. 2023].</w:t>
      </w:r>
    </w:p>
    <w:p w:rsidRPr="00190191" w:rsidR="00311C51" w:rsidP="00AF10D4" w:rsidRDefault="00E52452" w14:paraId="246295C2" w14:textId="25FCECB6">
      <w:pPr>
        <w:pStyle w:val="EndnoteText"/>
        <w:numPr>
          <w:ilvl w:val="0"/>
          <w:numId w:val="25"/>
        </w:numPr>
        <w:spacing w:after="120"/>
        <w:ind w:left="454" w:hanging="454"/>
        <w:rPr>
          <w:rFonts w:cs="Arial"/>
          <w:sz w:val="24"/>
          <w:szCs w:val="24"/>
        </w:rPr>
      </w:pPr>
      <w:r w:rsidRPr="00190191">
        <w:rPr>
          <w:rFonts w:cs="Arial"/>
          <w:sz w:val="24"/>
          <w:szCs w:val="24"/>
        </w:rPr>
        <w:t>The Health Foundation, NHS England and the Yorkshire and Humber Academic Health Science Network (2022). Tackling inequalities in healthcare access, experience, and outcomes: Actionable Insights. Available at: https://www.england.nhs.uk/wp-content/uploads/2022/07/B1779-Actionable-Insights-Tackling-inequalities-in-healthcare-access-experience-and-outcomes-guidance-July-202.pdf [Accessed 7 Jul. 2023].</w:t>
      </w:r>
    </w:p>
    <w:p w:rsidRPr="00190191" w:rsidR="00190191" w:rsidP="000F7A4D" w:rsidRDefault="00311C51" w14:paraId="3A03625D" w14:textId="77777777">
      <w:pPr>
        <w:pStyle w:val="EndnoteText"/>
        <w:rPr>
          <w:rFonts w:cs="Arial"/>
          <w:sz w:val="24"/>
          <w:szCs w:val="24"/>
        </w:rPr>
      </w:pPr>
      <w:r w:rsidRPr="000F7A4D">
        <w:rPr>
          <w:rFonts w:cs="Arial"/>
          <w:sz w:val="24"/>
          <w:szCs w:val="24"/>
        </w:rPr>
        <w:t>5</w:t>
      </w:r>
      <w:r w:rsidRPr="000F7A4D" w:rsidR="001B6844">
        <w:rPr>
          <w:rFonts w:cs="Arial"/>
          <w:sz w:val="24"/>
          <w:szCs w:val="24"/>
        </w:rPr>
        <w:t>5</w:t>
      </w:r>
      <w:r w:rsidRPr="000F7A4D">
        <w:rPr>
          <w:rFonts w:cs="Arial"/>
          <w:sz w:val="24"/>
          <w:szCs w:val="24"/>
        </w:rPr>
        <w:t xml:space="preserve">)  </w:t>
      </w:r>
      <w:r w:rsidRPr="000F7A4D" w:rsidR="00EB50B6">
        <w:rPr>
          <w:rFonts w:cs="Arial"/>
          <w:sz w:val="24"/>
          <w:szCs w:val="24"/>
        </w:rPr>
        <w:t xml:space="preserve">Health Anchors Learning Network. (n.d.). Anchor case studies. [online] Available at: </w:t>
      </w:r>
    </w:p>
    <w:p w:rsidR="00413772" w:rsidP="000F7A4D" w:rsidRDefault="00190191" w14:paraId="59B77024" w14:textId="0D69EC1D">
      <w:pPr>
        <w:pStyle w:val="EndnoteText"/>
        <w:spacing w:after="120"/>
        <w:sectPr w:rsidR="00413772" w:rsidSect="00EE0E4C">
          <w:headerReference w:type="even" r:id="rId44"/>
          <w:headerReference w:type="default" r:id="rId45"/>
          <w:footerReference w:type="default" r:id="rId46"/>
          <w:headerReference w:type="first" r:id="rId47"/>
          <w:footerReference w:type="first" r:id="rId48"/>
          <w:type w:val="continuous"/>
          <w:pgSz w:w="11906" w:h="16838" w:orient="portrait" w:code="9"/>
          <w:pgMar w:top="1985" w:right="1134" w:bottom="1134" w:left="851" w:header="624" w:footer="510" w:gutter="0"/>
          <w:cols w:space="227"/>
          <w:titlePg/>
          <w:docGrid w:linePitch="360"/>
        </w:sectPr>
      </w:pPr>
      <w:r w:rsidRPr="00EF1109">
        <w:rPr>
          <w:rFonts w:cs="Arial"/>
          <w:szCs w:val="24"/>
        </w:rPr>
        <w:t xml:space="preserve">       </w:t>
      </w:r>
      <w:r w:rsidRPr="000F7A4D" w:rsidR="00EB50B6">
        <w:rPr>
          <w:rFonts w:cs="Arial"/>
          <w:sz w:val="24"/>
          <w:szCs w:val="24"/>
        </w:rPr>
        <w:t>https://haln.org.uk/case-studies [Accessed 7 Jul. 2023].</w:t>
      </w:r>
    </w:p>
    <w:p w:rsidR="00413772" w:rsidP="00413772" w:rsidRDefault="00413772" w14:paraId="6C474D13" w14:textId="77777777">
      <w:pPr>
        <w:tabs>
          <w:tab w:val="left" w:pos="680"/>
          <w:tab w:val="right" w:pos="9979"/>
          <w:tab w:val="right" w:pos="10660"/>
        </w:tabs>
        <w:spacing w:after="100"/>
      </w:pPr>
    </w:p>
    <w:sectPr w:rsidR="00413772" w:rsidSect="00413772">
      <w:footerReference w:type="first" r:id="rId49"/>
      <w:pgSz w:w="11906" w:h="16838" w:orient="portrait" w:code="9"/>
      <w:pgMar w:top="2694" w:right="1418" w:bottom="1134" w:left="851" w:header="624" w:footer="510"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F0F8D" w:rsidRDefault="000F0F8D" w14:paraId="4ABA503A" w14:textId="77777777">
      <w:pPr>
        <w:spacing w:after="0" w:line="240" w:lineRule="auto"/>
      </w:pPr>
      <w:r>
        <w:separator/>
      </w:r>
    </w:p>
  </w:endnote>
  <w:endnote w:type="continuationSeparator" w:id="0">
    <w:p w:rsidR="000F0F8D" w:rsidRDefault="000F0F8D" w14:paraId="0EE8C209" w14:textId="77777777">
      <w:pPr>
        <w:spacing w:after="0" w:line="240" w:lineRule="auto"/>
      </w:pPr>
      <w:r>
        <w:continuationSeparator/>
      </w:r>
    </w:p>
  </w:endnote>
  <w:endnote w:type="continuationNotice" w:id="1">
    <w:p w:rsidR="000F0F8D" w:rsidRDefault="000F0F8D" w14:paraId="4DC70D6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Roboto">
    <w:altName w:val="Arial"/>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6111" w:rsidP="00960BD4" w:rsidRDefault="003F6111" w14:paraId="480FBF13" w14:textId="6D37D725">
    <w:pPr>
      <w:pStyle w:val="FooterOdd"/>
      <w:tabs>
        <w:tab w:val="right" w:pos="10660"/>
      </w:tabs>
    </w:pPr>
    <w:r>
      <w:fldChar w:fldCharType="begin"/>
    </w:r>
    <w:r>
      <w:instrText xml:space="preserve"> PAGE   \* MERGEFORMAT </w:instrText>
    </w:r>
    <w:r>
      <w:fldChar w:fldCharType="separate"/>
    </w:r>
    <w:r w:rsidR="00B76DDC">
      <w:rPr>
        <w:noProof/>
      </w:rPr>
      <w:t>2</w:t>
    </w:r>
    <w:r>
      <w:fldChar w:fldCharType="end"/>
    </w:r>
    <w:r>
      <w:tab/>
    </w:r>
    <w:r w:rsidRPr="001D2338">
      <w:fldChar w:fldCharType="begin"/>
    </w:r>
    <w:r w:rsidRPr="001D2338">
      <w:instrText xml:space="preserve"> IF </w:instrText>
    </w:r>
    <w:r w:rsidRPr="001D2338">
      <w:fldChar w:fldCharType="begin"/>
    </w:r>
    <w:r w:rsidRPr="001D2338">
      <w:instrText xml:space="preserve"> DOCVARIABLE  </w:instrText>
    </w:r>
    <w:r>
      <w:instrText>FooterText</w:instrText>
    </w:r>
    <w:r w:rsidRPr="001D2338">
      <w:instrText xml:space="preserve">  \* MERGEFORMAT </w:instrText>
    </w:r>
    <w:r w:rsidRPr="001D2338">
      <w:fldChar w:fldCharType="separate"/>
    </w:r>
    <w:r w:rsidR="000E28B9">
      <w:rPr>
        <w:b/>
        <w:bCs/>
        <w:lang w:val="en-US"/>
      </w:rPr>
      <w:instrText>Error! No document variable supplied.</w:instrText>
    </w:r>
    <w:r w:rsidRPr="001D2338">
      <w:fldChar w:fldCharType="end"/>
    </w:r>
    <w:r w:rsidRPr="001D2338">
      <w:instrText xml:space="preserve"> = "Error! No document variable supplied." " " </w:instrText>
    </w:r>
    <w:r w:rsidRPr="001D2338">
      <w:fldChar w:fldCharType="begin"/>
    </w:r>
    <w:r w:rsidRPr="001D2338">
      <w:instrText xml:space="preserve"> DOCVARIABLE  </w:instrText>
    </w:r>
    <w:r>
      <w:instrText>FooterText</w:instrText>
    </w:r>
    <w:r w:rsidRPr="001D2338">
      <w:instrText xml:space="preserve">  \* MERGEFORMAT </w:instrText>
    </w:r>
    <w:r w:rsidRPr="001D2338">
      <w:fldChar w:fldCharType="separate"/>
    </w:r>
    <w:r>
      <w:instrText>DocTitle</w:instrText>
    </w:r>
    <w:r w:rsidRPr="001D2338">
      <w:fldChar w:fldCharType="end"/>
    </w:r>
    <w:r w:rsidRPr="001D2338">
      <w:instrText xml:space="preserve"> \* MERGEFORMAT </w:instrText>
    </w:r>
    <w:r w:rsidRPr="001D2338">
      <w:fldChar w:fldCharType="separate"/>
    </w:r>
    <w:r w:rsidRPr="00EC0502" w:rsidR="00EC0502">
      <w:rPr>
        <w:noProof/>
        <w:lang w:val="en-US"/>
      </w:rPr>
      <w:t xml:space="preserve"> </w:t>
    </w:r>
    <w:r w:rsidRPr="001D2338">
      <w:fldChar w:fldCharType="end"/>
    </w:r>
  </w:p>
  <w:p w:rsidR="003F6111" w:rsidP="00960BD4" w:rsidRDefault="003F6111" w14:paraId="1F2208AC" w14:textId="77777777">
    <w:pPr>
      <w:pStyle w:val="FooterHalf"/>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6111" w:rsidP="00BD49AB" w:rsidRDefault="003F6111" w14:paraId="1BA39FE7" w14:textId="0E4D3B7E">
    <w:pPr>
      <w:pStyle w:val="FooterOdd"/>
    </w:pPr>
    <w:r>
      <w:tab/>
    </w:r>
    <w:r w:rsidRPr="001D2338">
      <w:fldChar w:fldCharType="begin"/>
    </w:r>
    <w:r w:rsidRPr="001D2338">
      <w:instrText xml:space="preserve"> IF </w:instrText>
    </w:r>
    <w:r w:rsidRPr="001D2338">
      <w:fldChar w:fldCharType="begin"/>
    </w:r>
    <w:r w:rsidRPr="001D2338">
      <w:instrText xml:space="preserve"> DOCVARIABLE  </w:instrText>
    </w:r>
    <w:r>
      <w:instrText>FooterText</w:instrText>
    </w:r>
    <w:r w:rsidRPr="001D2338">
      <w:instrText xml:space="preserve">  \* MERGEFORMAT </w:instrText>
    </w:r>
    <w:r w:rsidRPr="001D2338">
      <w:fldChar w:fldCharType="separate"/>
    </w:r>
    <w:r w:rsidR="000E28B9">
      <w:rPr>
        <w:b/>
        <w:bCs/>
        <w:lang w:val="en-US"/>
      </w:rPr>
      <w:instrText>Error! No document variable supplied.</w:instrText>
    </w:r>
    <w:r w:rsidRPr="001D2338">
      <w:fldChar w:fldCharType="end"/>
    </w:r>
    <w:r w:rsidRPr="001D2338">
      <w:instrText xml:space="preserve"> = "Error! No document variable supplied." " " </w:instrText>
    </w:r>
    <w:r w:rsidRPr="001D2338">
      <w:fldChar w:fldCharType="begin"/>
    </w:r>
    <w:r w:rsidRPr="001D2338">
      <w:instrText xml:space="preserve"> DOCVARIABLE  </w:instrText>
    </w:r>
    <w:r>
      <w:instrText>FooterText</w:instrText>
    </w:r>
    <w:r w:rsidRPr="001D2338">
      <w:instrText xml:space="preserve">  \* MERGEFORMAT </w:instrText>
    </w:r>
    <w:r w:rsidRPr="001D2338">
      <w:fldChar w:fldCharType="separate"/>
    </w:r>
    <w:r>
      <w:instrText>DocTitle</w:instrText>
    </w:r>
    <w:r w:rsidRPr="001D2338">
      <w:fldChar w:fldCharType="end"/>
    </w:r>
    <w:r w:rsidRPr="001D2338">
      <w:instrText xml:space="preserve"> \* MERGEFORMAT </w:instrText>
    </w:r>
    <w:r w:rsidRPr="001D2338">
      <w:fldChar w:fldCharType="separate"/>
    </w:r>
    <w:r w:rsidRPr="00B918B7" w:rsidR="00B918B7">
      <w:rPr>
        <w:noProof/>
        <w:lang w:val="en-US"/>
      </w:rPr>
      <w:t xml:space="preserve"> </w:t>
    </w:r>
    <w:r w:rsidRPr="001D2338">
      <w:fldChar w:fldCharType="end"/>
    </w:r>
    <w:r>
      <w:tab/>
    </w:r>
    <w:r>
      <w:fldChar w:fldCharType="begin"/>
    </w:r>
    <w:r>
      <w:instrText xml:space="preserve"> PAGE   \* MERGEFORMAT </w:instrText>
    </w:r>
    <w:r>
      <w:fldChar w:fldCharType="separate"/>
    </w:r>
    <w:r>
      <w:rPr>
        <w:noProof/>
      </w:rPr>
      <w:t>7</w:t>
    </w:r>
    <w:r>
      <w:fldChar w:fldCharType="end"/>
    </w:r>
  </w:p>
  <w:p w:rsidR="003F6111" w:rsidP="00BD49AB" w:rsidRDefault="003F6111" w14:paraId="6F3A1464" w14:textId="77777777">
    <w:pPr>
      <w:pStyle w:val="FooterHalf"/>
    </w:pPr>
  </w:p>
  <w:p w:rsidR="00F30828" w:rsidRDefault="00F30828" w14:paraId="4F387316" w14:textId="77777777"/>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314F1" w:rsidR="003F6111" w:rsidP="003314F1" w:rsidRDefault="003F6111" w14:paraId="5ACEA4B7" w14:textId="76D5E1A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52B39" w:rsidR="00413772" w:rsidP="00413772" w:rsidRDefault="00413772" w14:paraId="69BCCA38" w14:textId="77777777">
    <w:pPr>
      <w:tabs>
        <w:tab w:val="left" w:pos="680"/>
        <w:tab w:val="right" w:pos="9979"/>
        <w:tab w:val="right" w:pos="10660"/>
      </w:tabs>
      <w:spacing w:after="100"/>
    </w:pPr>
    <w:r w:rsidRPr="00852B39">
      <w:t>rsmuk.com</w:t>
    </w:r>
  </w:p>
  <w:p w:rsidRPr="000F4D96" w:rsidR="00413772" w:rsidP="00413772" w:rsidRDefault="00413772" w14:paraId="0AA6C580" w14:textId="77777777">
    <w:pPr>
      <w:rPr>
        <w:sz w:val="12"/>
      </w:rPr>
    </w:pPr>
    <w:r w:rsidRPr="000F4D96">
      <w:rPr>
        <w:sz w:val="12"/>
      </w:rPr>
      <w:t xml:space="preserve">The UK group of companies and LLPs trading as RSM is a member of the RSM network. RSM is the trading name used by the members of the RSM network. Each member of the RSM network is an independent accounting and consulting firm each of which practises in its own right. The RSM network is not itself a separate legal entity of any description in any jurisdiction. </w:t>
    </w:r>
  </w:p>
  <w:p w:rsidRPr="000F4D96" w:rsidR="00413772" w:rsidP="00413772" w:rsidRDefault="00413772" w14:paraId="3AF37C58" w14:textId="77777777">
    <w:pPr>
      <w:rPr>
        <w:sz w:val="12"/>
      </w:rPr>
    </w:pPr>
    <w:r w:rsidRPr="000F4D96">
      <w:rPr>
        <w:sz w:val="12"/>
      </w:rPr>
      <w:t>The RSM network is administered by RSM International Limited, a company registered in England and Wales (company number 4040598) whose registered office is at 50 Cannon Street, London EC4N 6JJ. The brand and trademark RSM and other intellectual property rights used by members of the network are owned by RSM International Association, an association governed by article 60 et seq of the Civil Code of Switzerland whose seat is in Zug.</w:t>
    </w:r>
  </w:p>
  <w:p w:rsidRPr="000F4D96" w:rsidR="00413772" w:rsidP="00413772" w:rsidRDefault="00413772" w14:paraId="29F60254" w14:textId="77777777">
    <w:pPr>
      <w:rPr>
        <w:sz w:val="12"/>
      </w:rPr>
    </w:pPr>
    <w:r w:rsidRPr="000F4D96">
      <w:rPr>
        <w:sz w:val="12"/>
      </w:rPr>
      <w:t>RSM UK Corporate Finance LLP, RSM UK Legal LLP, RSM UK Restructuring Advisory LLP, RSM UK Risk Assurance Services LLP, RSM UK Tax and Advisory Services LLP, RSM UK Audit LLP, RSM UK Consulting LLP and RSM UK Creditor Solutions LLP are limited liability partnerships registered in England and Wales, with registered numbers OC325347, OC402439, OC325349, OC389499, OC325348, OC325350, OC397475 and OC390886 respectively. RSM UK Employer Services Limited, RSM UK Tax and Accounting Limited and RSM UK Management Limited are registered in England and Wales with numbers 6463594, 6677561 and 3077999 respectively. RSM Northern Ireland (UK) Limited is registered in Northern Ireland at Number One Lanyon Quay, Belfast, BT1 3LG with number NI642821. All other limited companies and limited liability partnerships are registered at 6th Floor, 25 Farringdon Street, London, EC4A 4AB. The UK group of companies and LLPs trading as RSM is a member of the RSM network. RSM is the trading name used by the members of the RSM network. Each member of the RSM network is an independent accounting and consulting firm which practises in its own right. The RSM network is not itself a separate legal entity in any jurisdiction.</w:t>
    </w:r>
  </w:p>
  <w:p w:rsidRPr="00275F8E" w:rsidR="00413772" w:rsidP="00413772" w:rsidRDefault="00413772" w14:paraId="5DC4197F" w14:textId="77777777">
    <w:r w:rsidRPr="000F4D96">
      <w:rPr>
        <w:sz w:val="12"/>
      </w:rPr>
      <w:t>© 2023 RSM UK Group LLP, all rights reserved</w:t>
    </w:r>
  </w:p>
  <w:p w:rsidRPr="003314F1" w:rsidR="00413772" w:rsidP="003314F1" w:rsidRDefault="00413772" w14:paraId="7C5C283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0206"/>
    </w:tblGrid>
    <w:tr w:rsidR="003F6111" w:rsidTr="00563FD9" w14:paraId="6E37347D" w14:textId="77777777">
      <w:tc>
        <w:tcPr>
          <w:tcW w:w="10206" w:type="dxa"/>
        </w:tcPr>
        <w:p w:rsidR="003F6111" w:rsidP="00954A45" w:rsidRDefault="003F6111" w14:paraId="38D8BF7F" w14:textId="7865F4EB">
          <w:pPr>
            <w:pStyle w:val="FooterOdd"/>
          </w:pPr>
          <w:r>
            <w:tab/>
          </w:r>
          <w:r w:rsidRPr="001D2338">
            <w:fldChar w:fldCharType="begin"/>
          </w:r>
          <w:r w:rsidRPr="001D2338">
            <w:instrText xml:space="preserve"> IF </w:instrText>
          </w:r>
          <w:r w:rsidRPr="001D2338">
            <w:fldChar w:fldCharType="begin"/>
          </w:r>
          <w:r w:rsidRPr="001D2338">
            <w:instrText xml:space="preserve"> DOCVARIABLE  </w:instrText>
          </w:r>
          <w:r>
            <w:instrText>FooterText</w:instrText>
          </w:r>
          <w:r w:rsidRPr="001D2338">
            <w:instrText xml:space="preserve">  \* MERGEFORMAT </w:instrText>
          </w:r>
          <w:r w:rsidRPr="001D2338">
            <w:fldChar w:fldCharType="separate"/>
          </w:r>
          <w:r w:rsidR="000E28B9">
            <w:rPr>
              <w:b/>
              <w:bCs/>
              <w:lang w:val="en-US"/>
            </w:rPr>
            <w:instrText>Error! No document variable supplied.</w:instrText>
          </w:r>
          <w:r w:rsidRPr="001D2338">
            <w:fldChar w:fldCharType="end"/>
          </w:r>
          <w:r w:rsidRPr="001D2338">
            <w:instrText xml:space="preserve"> = "Error! No document variable supplied." " " </w:instrText>
          </w:r>
          <w:r w:rsidRPr="001D2338">
            <w:fldChar w:fldCharType="begin"/>
          </w:r>
          <w:r w:rsidRPr="001D2338">
            <w:instrText xml:space="preserve"> DOCVARIABLE  </w:instrText>
          </w:r>
          <w:r>
            <w:instrText>FooterText</w:instrText>
          </w:r>
          <w:r w:rsidRPr="001D2338">
            <w:instrText xml:space="preserve">  \* MERGEFORMAT </w:instrText>
          </w:r>
          <w:r w:rsidRPr="001D2338">
            <w:fldChar w:fldCharType="separate"/>
          </w:r>
          <w:r>
            <w:instrText>DocTitle</w:instrText>
          </w:r>
          <w:r w:rsidRPr="001D2338">
            <w:fldChar w:fldCharType="end"/>
          </w:r>
          <w:r w:rsidRPr="001D2338">
            <w:instrText xml:space="preserve"> \* MERGEFORMAT </w:instrText>
          </w:r>
          <w:r w:rsidRPr="001D2338">
            <w:fldChar w:fldCharType="separate"/>
          </w:r>
          <w:r w:rsidRPr="00EC0502" w:rsidR="00EC0502">
            <w:rPr>
              <w:noProof/>
              <w:lang w:val="en-US"/>
            </w:rPr>
            <w:t xml:space="preserve"> </w:t>
          </w:r>
          <w:r w:rsidRPr="001D2338">
            <w:fldChar w:fldCharType="end"/>
          </w:r>
          <w:r>
            <w:tab/>
          </w:r>
          <w:r>
            <w:fldChar w:fldCharType="begin"/>
          </w:r>
          <w:r>
            <w:instrText xml:space="preserve"> PAGE   \* MERGEFORMAT </w:instrText>
          </w:r>
          <w:r>
            <w:fldChar w:fldCharType="separate"/>
          </w:r>
          <w:r>
            <w:rPr>
              <w:noProof/>
            </w:rPr>
            <w:t>3</w:t>
          </w:r>
          <w:r>
            <w:fldChar w:fldCharType="end"/>
          </w:r>
        </w:p>
      </w:tc>
    </w:tr>
  </w:tbl>
  <w:p w:rsidR="003F6111" w:rsidP="00954A45" w:rsidRDefault="003F6111" w14:paraId="56E598F1" w14:textId="77777777">
    <w:pPr>
      <w:pStyle w:val="FooterHal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3F6111" w:rsidP="00952DAD" w:rsidRDefault="003F6111" w14:paraId="283E1A70" w14:textId="79A40363">
    <w:pPr>
      <w:pStyle w:val="Confidentiality"/>
      <w:framePr w:wrap="around"/>
    </w:pPr>
    <w:r w:rsidRPr="001D2338">
      <w:fldChar w:fldCharType="begin"/>
    </w:r>
    <w:r w:rsidRPr="001D2338">
      <w:instrText xml:space="preserve"> IF </w:instrText>
    </w:r>
    <w:r w:rsidRPr="001D2338">
      <w:fldChar w:fldCharType="begin"/>
    </w:r>
    <w:r w:rsidRPr="001D2338">
      <w:instrText xml:space="preserve"> DOCVARIABLE  </w:instrText>
    </w:r>
    <w:r>
      <w:instrText>DocConfidentiality</w:instrText>
    </w:r>
    <w:r w:rsidRPr="001D2338">
      <w:instrText xml:space="preserve">  \* MERGEFORMAT </w:instrText>
    </w:r>
    <w:r w:rsidRPr="001D2338">
      <w:fldChar w:fldCharType="separate"/>
    </w:r>
    <w:r w:rsidR="000E28B9">
      <w:rPr>
        <w:b w:val="0"/>
        <w:bCs/>
      </w:rPr>
      <w:instrText>Error! No document variable supplied.</w:instrText>
    </w:r>
    <w:r w:rsidRPr="001D2338">
      <w:fldChar w:fldCharType="end"/>
    </w:r>
    <w:r w:rsidRPr="001D2338">
      <w:instrText xml:space="preserve"> = "Error! No</w:instrText>
    </w:r>
    <w:r>
      <w:instrText xml:space="preserve"> document variable supplied." "</w:instrText>
    </w:r>
    <w:r w:rsidRPr="001D2338">
      <w:instrText xml:space="preserve">" </w:instrText>
    </w:r>
    <w:r w:rsidRPr="001D2338">
      <w:fldChar w:fldCharType="begin"/>
    </w:r>
    <w:r w:rsidRPr="001D2338">
      <w:instrText xml:space="preserve"> DOCVARIABLE  </w:instrText>
    </w:r>
    <w:r>
      <w:instrText>DocConfidentiality</w:instrText>
    </w:r>
    <w:r w:rsidRPr="001D2338">
      <w:instrText xml:space="preserve">  \* MERGEFORMAT </w:instrText>
    </w:r>
    <w:r w:rsidRPr="001D2338">
      <w:fldChar w:fldCharType="separate"/>
    </w:r>
    <w:r>
      <w:instrText>DocSubTitle</w:instrText>
    </w:r>
    <w:r w:rsidRPr="001D2338">
      <w:fldChar w:fldCharType="end"/>
    </w:r>
    <w:r w:rsidRPr="001D2338">
      <w:instrText xml:space="preserve"> \* MERGEFORMAT </w:instrText>
    </w:r>
    <w:r w:rsidRPr="001D2338">
      <w:fldChar w:fldCharType="end"/>
    </w:r>
  </w:p>
  <w:p w:rsidR="003F6111" w:rsidP="00952DAD" w:rsidRDefault="003F6111" w14:paraId="71891400" w14:textId="77777777">
    <w:pPr>
      <w:pStyle w:val="Footer"/>
    </w:pPr>
    <w:r>
      <w:rPr>
        <w:noProof/>
        <w:lang w:eastAsia="en-GB"/>
      </w:rPr>
      <mc:AlternateContent>
        <mc:Choice Requires="wps">
          <w:drawing>
            <wp:anchor distT="0" distB="0" distL="114300" distR="114300" simplePos="0" relativeHeight="251658240" behindDoc="0" locked="1" layoutInCell="1" allowOverlap="1" wp14:anchorId="68577236" wp14:editId="4148729B">
              <wp:simplePos x="0" y="0"/>
              <wp:positionH relativeFrom="page">
                <wp:posOffset>756285</wp:posOffset>
              </wp:positionH>
              <wp:positionV relativeFrom="page">
                <wp:posOffset>385445</wp:posOffset>
              </wp:positionV>
              <wp:extent cx="1691640" cy="7253605"/>
              <wp:effectExtent l="0" t="0" r="3810" b="444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91640" cy="7253605"/>
                      </a:xfrm>
                      <a:prstGeom prst="rect">
                        <a:avLst/>
                      </a:prstGeom>
                      <a:solidFill>
                        <a:schemeClr val="bg2">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4E4BB6AF">
            <v:rect id="Rectangle 4" style="position:absolute;margin-left:59.55pt;margin-top:30.35pt;width:133.2pt;height:571.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3f9c35 [3214]" stroked="f" strokeweight="1pt" w14:anchorId="42BE1A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">
              <v:fill opacity="32896f"/>
              <w10:wrap anchorx="page" anchory="page"/>
              <w10:anchorlock/>
            </v:rect>
          </w:pict>
        </mc:Fallback>
      </mc:AlternateContent>
    </w:r>
  </w:p>
  <w:tbl>
    <w:tblPr>
      <w:tblStyle w:val="TableGrid"/>
      <w:tblW w:w="106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5330"/>
      <w:gridCol w:w="5330"/>
    </w:tblGrid>
    <w:tr w:rsidR="003F6111" w:rsidTr="00952DAD" w14:paraId="4E15C8B0" w14:textId="77777777">
      <w:trPr>
        <w:trHeight w:val="1021" w:hRule="exact"/>
      </w:trPr>
      <w:tc>
        <w:tcPr>
          <w:tcW w:w="5437" w:type="dxa"/>
          <w:vAlign w:val="bottom"/>
        </w:tcPr>
        <w:p w:rsidR="003F6111" w:rsidP="00952DAD" w:rsidRDefault="003F6111" w14:paraId="32D1319F" w14:textId="77777777">
          <w:pPr>
            <w:pStyle w:val="Footer"/>
          </w:pPr>
          <w:r>
            <w:rPr>
              <w:noProof/>
              <w:lang w:eastAsia="en-GB"/>
            </w:rPr>
            <w:drawing>
              <wp:inline distT="0" distB="0" distL="0" distR="0" wp14:anchorId="1A4F06C7" wp14:editId="24692A2B">
                <wp:extent cx="2664000" cy="324000"/>
                <wp:effectExtent l="0" t="0" r="3175"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4000" cy="324000"/>
                        </a:xfrm>
                        <a:prstGeom prst="rect">
                          <a:avLst/>
                        </a:prstGeom>
                      </pic:spPr>
                    </pic:pic>
                  </a:graphicData>
                </a:graphic>
              </wp:inline>
            </w:drawing>
          </w:r>
        </w:p>
      </w:tc>
      <w:tc>
        <w:tcPr>
          <w:tcW w:w="5437" w:type="dxa"/>
          <w:vAlign w:val="bottom"/>
        </w:tcPr>
        <w:p w:rsidR="003F6111" w:rsidP="00952DAD" w:rsidRDefault="003F6111" w14:paraId="1E6970B6" w14:textId="77777777">
          <w:pPr>
            <w:pStyle w:val="Footer"/>
            <w:jc w:val="right"/>
          </w:pPr>
          <w:r>
            <w:rPr>
              <w:noProof/>
              <w:lang w:eastAsia="en-GB"/>
            </w:rPr>
            <w:drawing>
              <wp:inline distT="0" distB="0" distL="0" distR="0" wp14:anchorId="4535C2D2" wp14:editId="4B5A6AE3">
                <wp:extent cx="1512000" cy="633078"/>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12000" cy="633078"/>
                        </a:xfrm>
                        <a:prstGeom prst="rect">
                          <a:avLst/>
                        </a:prstGeom>
                      </pic:spPr>
                    </pic:pic>
                  </a:graphicData>
                </a:graphic>
              </wp:inline>
            </w:drawing>
          </w:r>
        </w:p>
      </w:tc>
    </w:tr>
  </w:tbl>
  <w:p w:rsidR="003F6111" w:rsidP="00952DAD" w:rsidRDefault="003F6111" w14:paraId="34C0E839" w14:textId="77777777">
    <w:pPr>
      <w:pStyle w:val="FooterHalf"/>
    </w:pPr>
    <w:r>
      <mc:AlternateContent>
        <mc:Choice Requires="wps">
          <w:drawing>
            <wp:anchor distT="0" distB="0" distL="114300" distR="114300" simplePos="0" relativeHeight="251658241" behindDoc="0" locked="1" layoutInCell="1" allowOverlap="1" wp14:anchorId="5503116F" wp14:editId="4DC98AC0">
              <wp:simplePos x="0" y="0"/>
              <wp:positionH relativeFrom="page">
                <wp:posOffset>0</wp:posOffset>
              </wp:positionH>
              <wp:positionV relativeFrom="page">
                <wp:posOffset>396240</wp:posOffset>
              </wp:positionV>
              <wp:extent cx="576000" cy="7254000"/>
              <wp:effectExtent l="0" t="0" r="0" b="444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 cy="7254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w14:anchorId="2C6FADC4">
            <v:rect id="Rectangle 5" style="position:absolute;margin-left:0;margin-top:31.2pt;width:45.35pt;height:571.2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63666a [3213]" stroked="f" strokeweight="1pt" w14:anchorId="10DEFF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">
              <w10:wrap anchorx="page" anchory="page"/>
              <w10:anchorlock/>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26DE" w:rsidP="0030066E" w:rsidRDefault="00EE26DE" w14:paraId="394552ED" w14:textId="2BC8356C">
    <w:pPr>
      <w:pStyle w:val="Footer"/>
    </w:pPr>
    <w:r>
      <w:fldChar w:fldCharType="begin"/>
    </w:r>
    <w:r>
      <w:instrText xml:space="preserve"> PAGE   \* MERGEFORMAT </w:instrText>
    </w:r>
    <w:r>
      <w:fldChar w:fldCharType="separate"/>
    </w:r>
    <w:r>
      <w:rPr>
        <w:noProof/>
      </w:rPr>
      <w:t>4</w:t>
    </w:r>
    <w:r>
      <w:fldChar w:fldCharType="end"/>
    </w:r>
    <w:r>
      <w:tab/>
    </w:r>
    <w:r w:rsidRPr="001D2338">
      <w:fldChar w:fldCharType="begin"/>
    </w:r>
    <w:r w:rsidRPr="001D2338">
      <w:instrText xml:space="preserve"> IF </w:instrText>
    </w:r>
    <w:r w:rsidRPr="001D2338">
      <w:fldChar w:fldCharType="begin"/>
    </w:r>
    <w:r w:rsidRPr="001D2338">
      <w:instrText xml:space="preserve"> DOCVARIABLE  </w:instrText>
    </w:r>
    <w:r>
      <w:instrText>FooterText</w:instrText>
    </w:r>
    <w:r w:rsidRPr="001D2338">
      <w:instrText xml:space="preserve">  \* MERGEFORMAT </w:instrText>
    </w:r>
    <w:r w:rsidRPr="001D2338">
      <w:fldChar w:fldCharType="separate"/>
    </w:r>
    <w:r>
      <w:rPr>
        <w:b/>
        <w:bCs/>
        <w:lang w:val="en-US"/>
      </w:rPr>
      <w:instrText>Error! No document variable supplied.</w:instrText>
    </w:r>
    <w:r w:rsidRPr="001D2338">
      <w:fldChar w:fldCharType="end"/>
    </w:r>
    <w:r w:rsidRPr="001D2338">
      <w:instrText xml:space="preserve"> = "Error! No document variable supplied." " " </w:instrText>
    </w:r>
    <w:r w:rsidRPr="001D2338">
      <w:fldChar w:fldCharType="begin"/>
    </w:r>
    <w:r w:rsidRPr="001D2338">
      <w:instrText xml:space="preserve"> DOCVARIABLE  </w:instrText>
    </w:r>
    <w:r>
      <w:instrText>FooterText</w:instrText>
    </w:r>
    <w:r w:rsidRPr="001D2338">
      <w:instrText xml:space="preserve">  \* MERGEFORMAT </w:instrText>
    </w:r>
    <w:r w:rsidRPr="001D2338">
      <w:fldChar w:fldCharType="separate"/>
    </w:r>
    <w:r>
      <w:instrText>DocTitle</w:instrText>
    </w:r>
    <w:r w:rsidRPr="001D2338">
      <w:fldChar w:fldCharType="end"/>
    </w:r>
    <w:r w:rsidRPr="001D2338">
      <w:instrText xml:space="preserve"> \* MERGEFORMAT </w:instrText>
    </w:r>
    <w:r w:rsidRPr="001D2338">
      <w:fldChar w:fldCharType="separate"/>
    </w:r>
    <w:r w:rsidRPr="00B918B7" w:rsidR="00B918B7">
      <w:rPr>
        <w:noProof/>
        <w:lang w:val="en-US"/>
      </w:rPr>
      <w:t xml:space="preserve"> </w:t>
    </w:r>
    <w:r w:rsidRPr="001D2338">
      <w:fldChar w:fldCharType="end"/>
    </w:r>
  </w:p>
  <w:p w:rsidR="00EE26DE" w:rsidP="00960BD4" w:rsidRDefault="00EE26DE" w14:paraId="338B1D00" w14:textId="77777777">
    <w:pPr>
      <w:pStyle w:val="FooterHalf"/>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0206"/>
    </w:tblGrid>
    <w:tr w:rsidR="00EE26DE" w:rsidTr="00A329FF" w14:paraId="5862C5C2" w14:textId="77777777">
      <w:tc>
        <w:tcPr>
          <w:tcW w:w="10206" w:type="dxa"/>
        </w:tcPr>
        <w:p w:rsidR="00EE26DE" w:rsidP="005E68AD" w:rsidRDefault="00EE26DE" w14:paraId="227AB447" w14:textId="6D45803C">
          <w:pPr>
            <w:pStyle w:val="FooterOdd"/>
          </w:pPr>
          <w:r>
            <w:tab/>
          </w:r>
          <w:r w:rsidRPr="001D2338">
            <w:fldChar w:fldCharType="begin"/>
          </w:r>
          <w:r w:rsidRPr="001D2338">
            <w:instrText xml:space="preserve"> IF </w:instrText>
          </w:r>
          <w:r w:rsidRPr="001D2338">
            <w:fldChar w:fldCharType="begin"/>
          </w:r>
          <w:r w:rsidRPr="001D2338">
            <w:instrText xml:space="preserve"> DOCVARIABLE  </w:instrText>
          </w:r>
          <w:r>
            <w:instrText>FooterText</w:instrText>
          </w:r>
          <w:r w:rsidRPr="001D2338">
            <w:instrText xml:space="preserve">  \* MERGEFORMAT </w:instrText>
          </w:r>
          <w:r w:rsidRPr="001D2338">
            <w:fldChar w:fldCharType="separate"/>
          </w:r>
          <w:r>
            <w:rPr>
              <w:b/>
              <w:bCs/>
              <w:lang w:val="en-US"/>
            </w:rPr>
            <w:instrText>Error! No document variable supplied.</w:instrText>
          </w:r>
          <w:r w:rsidRPr="001D2338">
            <w:fldChar w:fldCharType="end"/>
          </w:r>
          <w:r w:rsidRPr="001D2338">
            <w:instrText xml:space="preserve"> = "Error! No document variable supplied." " " </w:instrText>
          </w:r>
          <w:r w:rsidRPr="001D2338">
            <w:fldChar w:fldCharType="begin"/>
          </w:r>
          <w:r w:rsidRPr="001D2338">
            <w:instrText xml:space="preserve"> DOCVARIABLE  </w:instrText>
          </w:r>
          <w:r>
            <w:instrText>FooterText</w:instrText>
          </w:r>
          <w:r w:rsidRPr="001D2338">
            <w:instrText xml:space="preserve">  \* MERGEFORMAT </w:instrText>
          </w:r>
          <w:r w:rsidRPr="001D2338">
            <w:fldChar w:fldCharType="separate"/>
          </w:r>
          <w:r>
            <w:instrText>DocTitle</w:instrText>
          </w:r>
          <w:r w:rsidRPr="001D2338">
            <w:fldChar w:fldCharType="end"/>
          </w:r>
          <w:r w:rsidRPr="001D2338">
            <w:instrText xml:space="preserve"> \* MERGEFORMAT </w:instrText>
          </w:r>
          <w:r w:rsidRPr="001D2338">
            <w:fldChar w:fldCharType="separate"/>
          </w:r>
          <w:r w:rsidRPr="00B918B7" w:rsidR="00B918B7">
            <w:rPr>
              <w:noProof/>
              <w:lang w:val="en-US"/>
            </w:rPr>
            <w:t xml:space="preserve"> </w:t>
          </w:r>
          <w:r w:rsidRPr="001D2338">
            <w:fldChar w:fldCharType="end"/>
          </w:r>
          <w:r>
            <w:tab/>
          </w:r>
          <w:r>
            <w:fldChar w:fldCharType="begin"/>
          </w:r>
          <w:r>
            <w:instrText xml:space="preserve"> PAGE   \* MERGEFORMAT </w:instrText>
          </w:r>
          <w:r>
            <w:fldChar w:fldCharType="separate"/>
          </w:r>
          <w:r>
            <w:rPr>
              <w:noProof/>
            </w:rPr>
            <w:t>3</w:t>
          </w:r>
          <w:r>
            <w:fldChar w:fldCharType="end"/>
          </w:r>
        </w:p>
      </w:tc>
    </w:tr>
  </w:tbl>
  <w:p w:rsidR="00EE26DE" w:rsidP="005E68AD" w:rsidRDefault="00EE26DE" w14:paraId="604985A2" w14:textId="77777777">
    <w:pPr>
      <w:pStyle w:val="FooterHalf"/>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037E" w:rsidP="0030066E" w:rsidRDefault="0089037E" w14:paraId="570ED314" w14:textId="6655EBF4">
    <w:pPr>
      <w:pStyle w:val="Footer"/>
    </w:pPr>
    <w:r>
      <w:fldChar w:fldCharType="begin"/>
    </w:r>
    <w:r>
      <w:instrText xml:space="preserve"> PAGE   \* MERGEFORMAT </w:instrText>
    </w:r>
    <w:r>
      <w:fldChar w:fldCharType="separate"/>
    </w:r>
    <w:r>
      <w:rPr>
        <w:noProof/>
      </w:rPr>
      <w:t>4</w:t>
    </w:r>
    <w:r>
      <w:fldChar w:fldCharType="end"/>
    </w:r>
    <w:r>
      <w:tab/>
    </w:r>
    <w:r w:rsidRPr="001D2338">
      <w:fldChar w:fldCharType="begin"/>
    </w:r>
    <w:r w:rsidRPr="001D2338">
      <w:instrText xml:space="preserve"> IF </w:instrText>
    </w:r>
    <w:r w:rsidRPr="001D2338">
      <w:fldChar w:fldCharType="begin"/>
    </w:r>
    <w:r w:rsidRPr="001D2338">
      <w:instrText xml:space="preserve"> DOCVARIABLE  </w:instrText>
    </w:r>
    <w:r>
      <w:instrText>FooterText</w:instrText>
    </w:r>
    <w:r w:rsidRPr="001D2338">
      <w:instrText xml:space="preserve">  \* MERGEFORMAT </w:instrText>
    </w:r>
    <w:r w:rsidRPr="001D2338">
      <w:fldChar w:fldCharType="separate"/>
    </w:r>
    <w:r>
      <w:rPr>
        <w:b/>
        <w:bCs/>
        <w:lang w:val="en-US"/>
      </w:rPr>
      <w:instrText>Error! No document variable supplied.</w:instrText>
    </w:r>
    <w:r w:rsidRPr="001D2338">
      <w:fldChar w:fldCharType="end"/>
    </w:r>
    <w:r w:rsidRPr="001D2338">
      <w:instrText xml:space="preserve"> = "Error! No document variable supplied." " " </w:instrText>
    </w:r>
    <w:r w:rsidRPr="001D2338">
      <w:fldChar w:fldCharType="begin"/>
    </w:r>
    <w:r w:rsidRPr="001D2338">
      <w:instrText xml:space="preserve"> DOCVARIABLE  </w:instrText>
    </w:r>
    <w:r>
      <w:instrText>FooterText</w:instrText>
    </w:r>
    <w:r w:rsidRPr="001D2338">
      <w:instrText xml:space="preserve">  \* MERGEFORMAT </w:instrText>
    </w:r>
    <w:r w:rsidRPr="001D2338">
      <w:fldChar w:fldCharType="separate"/>
    </w:r>
    <w:r>
      <w:instrText>DocTitle</w:instrText>
    </w:r>
    <w:r w:rsidRPr="001D2338">
      <w:fldChar w:fldCharType="end"/>
    </w:r>
    <w:r w:rsidRPr="001D2338">
      <w:instrText xml:space="preserve"> \* MERGEFORMAT </w:instrText>
    </w:r>
    <w:r w:rsidRPr="001D2338">
      <w:fldChar w:fldCharType="separate"/>
    </w:r>
    <w:r w:rsidRPr="00B918B7" w:rsidR="00B918B7">
      <w:rPr>
        <w:noProof/>
        <w:lang w:val="en-US"/>
      </w:rPr>
      <w:t xml:space="preserve"> </w:t>
    </w:r>
    <w:r w:rsidRPr="001D2338">
      <w:fldChar w:fldCharType="end"/>
    </w:r>
  </w:p>
  <w:p w:rsidR="0089037E" w:rsidP="00960BD4" w:rsidRDefault="0089037E" w14:paraId="6EC48F8A" w14:textId="77777777">
    <w:pPr>
      <w:pStyle w:val="FooterHalf"/>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0206"/>
    </w:tblGrid>
    <w:tr w:rsidR="0089037E" w:rsidTr="00A329FF" w14:paraId="05C25DE7" w14:textId="77777777">
      <w:tc>
        <w:tcPr>
          <w:tcW w:w="10206" w:type="dxa"/>
        </w:tcPr>
        <w:p w:rsidR="0089037E" w:rsidP="005E68AD" w:rsidRDefault="0089037E" w14:paraId="387F468D" w14:textId="0D98D4B2">
          <w:pPr>
            <w:pStyle w:val="FooterOdd"/>
          </w:pPr>
          <w:r>
            <w:tab/>
          </w:r>
          <w:r w:rsidRPr="001D2338">
            <w:fldChar w:fldCharType="begin"/>
          </w:r>
          <w:r w:rsidRPr="001D2338">
            <w:instrText xml:space="preserve"> IF </w:instrText>
          </w:r>
          <w:r w:rsidRPr="001D2338">
            <w:fldChar w:fldCharType="begin"/>
          </w:r>
          <w:r w:rsidRPr="001D2338">
            <w:instrText xml:space="preserve"> DOCVARIABLE  </w:instrText>
          </w:r>
          <w:r>
            <w:instrText>FooterText</w:instrText>
          </w:r>
          <w:r w:rsidRPr="001D2338">
            <w:instrText xml:space="preserve">  \* MERGEFORMAT </w:instrText>
          </w:r>
          <w:r w:rsidRPr="001D2338">
            <w:fldChar w:fldCharType="separate"/>
          </w:r>
          <w:r>
            <w:rPr>
              <w:b/>
              <w:bCs/>
              <w:lang w:val="en-US"/>
            </w:rPr>
            <w:instrText>Error! No document variable supplied.</w:instrText>
          </w:r>
          <w:r w:rsidRPr="001D2338">
            <w:fldChar w:fldCharType="end"/>
          </w:r>
          <w:r w:rsidRPr="001D2338">
            <w:instrText xml:space="preserve"> = "Error! No document variable supplied." " " </w:instrText>
          </w:r>
          <w:r w:rsidRPr="001D2338">
            <w:fldChar w:fldCharType="begin"/>
          </w:r>
          <w:r w:rsidRPr="001D2338">
            <w:instrText xml:space="preserve"> DOCVARIABLE  </w:instrText>
          </w:r>
          <w:r>
            <w:instrText>FooterText</w:instrText>
          </w:r>
          <w:r w:rsidRPr="001D2338">
            <w:instrText xml:space="preserve">  \* MERGEFORMAT </w:instrText>
          </w:r>
          <w:r w:rsidRPr="001D2338">
            <w:fldChar w:fldCharType="separate"/>
          </w:r>
          <w:r>
            <w:instrText>DocTitle</w:instrText>
          </w:r>
          <w:r w:rsidRPr="001D2338">
            <w:fldChar w:fldCharType="end"/>
          </w:r>
          <w:r w:rsidRPr="001D2338">
            <w:instrText xml:space="preserve"> \* MERGEFORMAT </w:instrText>
          </w:r>
          <w:r w:rsidRPr="001D2338">
            <w:fldChar w:fldCharType="separate"/>
          </w:r>
          <w:r w:rsidRPr="00B918B7" w:rsidR="00B918B7">
            <w:rPr>
              <w:noProof/>
              <w:lang w:val="en-US"/>
            </w:rPr>
            <w:t xml:space="preserve"> </w:t>
          </w:r>
          <w:r w:rsidRPr="001D2338">
            <w:fldChar w:fldCharType="end"/>
          </w:r>
          <w:r>
            <w:tab/>
          </w:r>
          <w:r>
            <w:fldChar w:fldCharType="begin"/>
          </w:r>
          <w:r>
            <w:instrText xml:space="preserve"> PAGE   \* MERGEFORMAT </w:instrText>
          </w:r>
          <w:r>
            <w:fldChar w:fldCharType="separate"/>
          </w:r>
          <w:r>
            <w:rPr>
              <w:noProof/>
            </w:rPr>
            <w:t>3</w:t>
          </w:r>
          <w:r>
            <w:fldChar w:fldCharType="end"/>
          </w:r>
        </w:p>
      </w:tc>
    </w:tr>
  </w:tbl>
  <w:p w:rsidR="0089037E" w:rsidP="005E68AD" w:rsidRDefault="0089037E" w14:paraId="0C990FC2" w14:textId="77777777">
    <w:pPr>
      <w:pStyle w:val="FooterHalf"/>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6111" w:rsidP="0030066E" w:rsidRDefault="003F6111" w14:paraId="73B9C101" w14:textId="516B5295">
    <w:pPr>
      <w:pStyle w:val="Footer"/>
    </w:pPr>
    <w:r>
      <w:fldChar w:fldCharType="begin"/>
    </w:r>
    <w:r>
      <w:instrText xml:space="preserve"> PAGE   \* MERGEFORMAT </w:instrText>
    </w:r>
    <w:r>
      <w:fldChar w:fldCharType="separate"/>
    </w:r>
    <w:r w:rsidR="00735AA0">
      <w:rPr>
        <w:noProof/>
      </w:rPr>
      <w:t>4</w:t>
    </w:r>
    <w:r>
      <w:fldChar w:fldCharType="end"/>
    </w:r>
    <w:r>
      <w:tab/>
    </w:r>
    <w:r w:rsidRPr="001D2338">
      <w:fldChar w:fldCharType="begin"/>
    </w:r>
    <w:r w:rsidRPr="001D2338">
      <w:instrText xml:space="preserve"> IF </w:instrText>
    </w:r>
    <w:r w:rsidRPr="001D2338">
      <w:fldChar w:fldCharType="begin"/>
    </w:r>
    <w:r w:rsidRPr="001D2338">
      <w:instrText xml:space="preserve"> DOCVARIABLE  </w:instrText>
    </w:r>
    <w:r>
      <w:instrText>FooterText</w:instrText>
    </w:r>
    <w:r w:rsidRPr="001D2338">
      <w:instrText xml:space="preserve">  \* MERGEFORMAT </w:instrText>
    </w:r>
    <w:r w:rsidRPr="001D2338">
      <w:fldChar w:fldCharType="separate"/>
    </w:r>
    <w:r w:rsidR="000E28B9">
      <w:rPr>
        <w:b/>
        <w:bCs/>
        <w:lang w:val="en-US"/>
      </w:rPr>
      <w:instrText>Error! No document variable supplied.</w:instrText>
    </w:r>
    <w:r w:rsidRPr="001D2338">
      <w:fldChar w:fldCharType="end"/>
    </w:r>
    <w:r w:rsidRPr="001D2338">
      <w:instrText xml:space="preserve"> = "Error! No document variable supplied." " " </w:instrText>
    </w:r>
    <w:r w:rsidRPr="001D2338">
      <w:fldChar w:fldCharType="begin"/>
    </w:r>
    <w:r w:rsidRPr="001D2338">
      <w:instrText xml:space="preserve"> DOCVARIABLE  </w:instrText>
    </w:r>
    <w:r>
      <w:instrText>FooterText</w:instrText>
    </w:r>
    <w:r w:rsidRPr="001D2338">
      <w:instrText xml:space="preserve">  \* MERGEFORMAT </w:instrText>
    </w:r>
    <w:r w:rsidRPr="001D2338">
      <w:fldChar w:fldCharType="separate"/>
    </w:r>
    <w:r>
      <w:instrText>DocTitle</w:instrText>
    </w:r>
    <w:r w:rsidRPr="001D2338">
      <w:fldChar w:fldCharType="end"/>
    </w:r>
    <w:r w:rsidRPr="001D2338">
      <w:instrText xml:space="preserve"> \* MERGEFORMAT </w:instrText>
    </w:r>
    <w:r w:rsidRPr="001D2338">
      <w:fldChar w:fldCharType="separate"/>
    </w:r>
    <w:r w:rsidRPr="00B918B7" w:rsidR="00B918B7">
      <w:rPr>
        <w:noProof/>
        <w:lang w:val="en-US"/>
      </w:rPr>
      <w:t xml:space="preserve"> </w:t>
    </w:r>
    <w:r w:rsidRPr="001D2338">
      <w:fldChar w:fldCharType="end"/>
    </w:r>
  </w:p>
  <w:p w:rsidR="003F6111" w:rsidP="00960BD4" w:rsidRDefault="003F6111" w14:paraId="382E46A3" w14:textId="77777777">
    <w:pPr>
      <w:pStyle w:val="FooterHalf"/>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0206"/>
    </w:tblGrid>
    <w:tr w:rsidR="003F6111" w:rsidTr="00A329FF" w14:paraId="464C37F2" w14:textId="77777777">
      <w:tc>
        <w:tcPr>
          <w:tcW w:w="10206" w:type="dxa"/>
        </w:tcPr>
        <w:p w:rsidR="003F6111" w:rsidP="005E68AD" w:rsidRDefault="003F6111" w14:paraId="6848A76F" w14:textId="62242195">
          <w:pPr>
            <w:pStyle w:val="FooterOdd"/>
          </w:pPr>
          <w:r>
            <w:tab/>
          </w:r>
          <w:r w:rsidRPr="001D2338">
            <w:fldChar w:fldCharType="begin"/>
          </w:r>
          <w:r w:rsidRPr="001D2338">
            <w:instrText xml:space="preserve"> IF </w:instrText>
          </w:r>
          <w:r w:rsidRPr="001D2338">
            <w:fldChar w:fldCharType="begin"/>
          </w:r>
          <w:r w:rsidRPr="001D2338">
            <w:instrText xml:space="preserve"> DOCVARIABLE  </w:instrText>
          </w:r>
          <w:r>
            <w:instrText>FooterText</w:instrText>
          </w:r>
          <w:r w:rsidRPr="001D2338">
            <w:instrText xml:space="preserve">  \* MERGEFORMAT </w:instrText>
          </w:r>
          <w:r w:rsidRPr="001D2338">
            <w:fldChar w:fldCharType="separate"/>
          </w:r>
          <w:r w:rsidR="000E28B9">
            <w:rPr>
              <w:b/>
              <w:bCs/>
              <w:lang w:val="en-US"/>
            </w:rPr>
            <w:instrText>Error! No document variable supplied.</w:instrText>
          </w:r>
          <w:r w:rsidRPr="001D2338">
            <w:fldChar w:fldCharType="end"/>
          </w:r>
          <w:r w:rsidRPr="001D2338">
            <w:instrText xml:space="preserve"> = "Error! No document variable supplied." " " </w:instrText>
          </w:r>
          <w:r w:rsidRPr="001D2338">
            <w:fldChar w:fldCharType="begin"/>
          </w:r>
          <w:r w:rsidRPr="001D2338">
            <w:instrText xml:space="preserve"> DOCVARIABLE  </w:instrText>
          </w:r>
          <w:r>
            <w:instrText>FooterText</w:instrText>
          </w:r>
          <w:r w:rsidRPr="001D2338">
            <w:instrText xml:space="preserve">  \* MERGEFORMAT </w:instrText>
          </w:r>
          <w:r w:rsidRPr="001D2338">
            <w:fldChar w:fldCharType="separate"/>
          </w:r>
          <w:r>
            <w:instrText>DocTitle</w:instrText>
          </w:r>
          <w:r w:rsidRPr="001D2338">
            <w:fldChar w:fldCharType="end"/>
          </w:r>
          <w:r w:rsidRPr="001D2338">
            <w:instrText xml:space="preserve"> \* MERGEFORMAT </w:instrText>
          </w:r>
          <w:r w:rsidRPr="001D2338">
            <w:fldChar w:fldCharType="separate"/>
          </w:r>
          <w:r w:rsidRPr="00B918B7" w:rsidR="00B918B7">
            <w:rPr>
              <w:noProof/>
              <w:lang w:val="en-US"/>
            </w:rPr>
            <w:t xml:space="preserve"> </w:t>
          </w:r>
          <w:r w:rsidRPr="001D2338">
            <w:fldChar w:fldCharType="end"/>
          </w:r>
          <w:r>
            <w:tab/>
          </w:r>
          <w:r>
            <w:fldChar w:fldCharType="begin"/>
          </w:r>
          <w:r>
            <w:instrText xml:space="preserve"> PAGE   \* MERGEFORMAT </w:instrText>
          </w:r>
          <w:r>
            <w:fldChar w:fldCharType="separate"/>
          </w:r>
          <w:r w:rsidR="00735AA0">
            <w:rPr>
              <w:noProof/>
            </w:rPr>
            <w:t>3</w:t>
          </w:r>
          <w:r>
            <w:fldChar w:fldCharType="end"/>
          </w:r>
        </w:p>
      </w:tc>
    </w:tr>
  </w:tbl>
  <w:p w:rsidR="003F6111" w:rsidP="005E68AD" w:rsidRDefault="003F6111" w14:paraId="750B2AF5" w14:textId="77777777">
    <w:pPr>
      <w:pStyle w:val="FooterHal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0F8D" w:rsidRDefault="000F0F8D" w14:paraId="3C8FB64C" w14:textId="77777777">
      <w:pPr>
        <w:spacing w:after="0" w:line="240" w:lineRule="auto"/>
      </w:pPr>
      <w:r>
        <w:separator/>
      </w:r>
    </w:p>
  </w:footnote>
  <w:footnote w:type="continuationSeparator" w:id="0">
    <w:p w:rsidR="000F0F8D" w:rsidRDefault="000F0F8D" w14:paraId="78FAE14E" w14:textId="77777777">
      <w:pPr>
        <w:spacing w:after="0" w:line="240" w:lineRule="auto"/>
      </w:pPr>
      <w:r>
        <w:continuationSeparator/>
      </w:r>
    </w:p>
  </w:footnote>
  <w:footnote w:type="continuationNotice" w:id="1">
    <w:p w:rsidR="000F0F8D" w:rsidRDefault="000F0F8D" w14:paraId="2F0C7301" w14:textId="77777777">
      <w:pPr>
        <w:spacing w:after="0" w:line="240" w:lineRule="auto"/>
      </w:pPr>
    </w:p>
  </w:footnote>
  <w:footnote w:id="2">
    <w:p w:rsidR="00F74ACF" w:rsidP="00F74ACF" w:rsidRDefault="00F74ACF" w14:paraId="70BD76B8" w14:textId="2A799B36">
      <w:pPr>
        <w:pStyle w:val="FootnoteText"/>
        <w:rPr>
          <w:rFonts w:cs="Arial"/>
          <w:szCs w:val="16"/>
        </w:rPr>
      </w:pPr>
      <w:r>
        <w:rPr>
          <w:rStyle w:val="FootnoteReference"/>
          <w:rFonts w:cs="Arial"/>
          <w:szCs w:val="16"/>
        </w:rPr>
        <w:footnoteRef/>
      </w:r>
      <w:r>
        <w:rPr>
          <w:rFonts w:cs="Arial"/>
          <w:szCs w:val="16"/>
        </w:rPr>
        <w:t xml:space="preserve"> </w:t>
      </w:r>
      <w:hyperlink w:history="1" r:id="rId1">
        <w:r>
          <w:rPr>
            <w:rStyle w:val="Hyperlink"/>
            <w:rFonts w:cs="Arial"/>
            <w:szCs w:val="16"/>
          </w:rPr>
          <w:t>PRESS 2015: checklist for search strategies | Karolinska Institute University Library (ki.se)</w:t>
        </w:r>
      </w:hyperlink>
      <w:r>
        <w:rPr>
          <w:rStyle w:val="Hyperlink"/>
          <w:rFonts w:cs="Arial"/>
          <w:szCs w:val="16"/>
        </w:rPr>
        <w:t xml:space="preserve"> </w:t>
      </w:r>
    </w:p>
  </w:footnote>
  <w:footnote w:id="3">
    <w:p w:rsidRPr="000C4739" w:rsidR="00F74ACF" w:rsidP="00F74ACF" w:rsidRDefault="00F74ACF" w14:paraId="2F805B3E" w14:textId="77777777">
      <w:pPr>
        <w:pStyle w:val="FootnoteText"/>
        <w:rPr>
          <w:rFonts w:cs="Arial"/>
          <w:szCs w:val="22"/>
        </w:rPr>
      </w:pPr>
      <w:r w:rsidRPr="000C4739">
        <w:rPr>
          <w:rStyle w:val="FootnoteReference"/>
          <w:rFonts w:cs="Arial"/>
          <w:szCs w:val="22"/>
        </w:rPr>
        <w:footnoteRef/>
      </w:r>
      <w:r w:rsidRPr="000C4739">
        <w:rPr>
          <w:rFonts w:cs="Arial"/>
          <w:szCs w:val="22"/>
        </w:rPr>
        <w:t xml:space="preserve"> </w:t>
      </w:r>
      <w:hyperlink w:history="1" r:id="rId2">
        <w:r w:rsidRPr="000C4739">
          <w:rPr>
            <w:rStyle w:val="Hyperlink"/>
            <w:rFonts w:cs="Arial"/>
            <w:szCs w:val="22"/>
          </w:rPr>
          <w:t>https://amstar.ca/Amstar_Checklist.php</w:t>
        </w:r>
      </w:hyperlink>
      <w:r w:rsidRPr="000C4739">
        <w:rPr>
          <w:rFonts w:cs="Arial"/>
          <w:szCs w:val="22"/>
        </w:rPr>
        <w:t xml:space="preserve"> </w:t>
      </w:r>
    </w:p>
  </w:footnote>
  <w:footnote w:id="4">
    <w:p w:rsidRPr="000C4739" w:rsidR="00F74ACF" w:rsidP="00F74ACF" w:rsidRDefault="00F74ACF" w14:paraId="6A3930AA" w14:textId="48A4F16B">
      <w:pPr>
        <w:pStyle w:val="FootnoteText"/>
        <w:rPr>
          <w:rFonts w:cs="Arial"/>
          <w:szCs w:val="22"/>
        </w:rPr>
      </w:pPr>
      <w:r w:rsidRPr="000C4739">
        <w:rPr>
          <w:rStyle w:val="FootnoteReference"/>
          <w:rFonts w:cs="Arial"/>
          <w:szCs w:val="22"/>
        </w:rPr>
        <w:footnoteRef/>
      </w:r>
      <w:r w:rsidRPr="000C4739">
        <w:rPr>
          <w:rFonts w:cs="Arial"/>
          <w:szCs w:val="22"/>
        </w:rPr>
        <w:t xml:space="preserve"> </w:t>
      </w:r>
      <w:hyperlink w:history="1" r:id="rId3">
        <w:r w:rsidRPr="000C4739">
          <w:rPr>
            <w:rStyle w:val="Hyperlink"/>
            <w:rFonts w:cs="Arial"/>
            <w:szCs w:val="22"/>
          </w:rPr>
          <w:t>https://bestpractice.bmj.com/info/toolkit/learn-ebm/what-is-grade/</w:t>
        </w:r>
      </w:hyperlink>
      <w:r w:rsidRPr="000C4739">
        <w:rPr>
          <w:rFonts w:cs="Arial"/>
          <w:szCs w:val="22"/>
        </w:rPr>
        <w:t xml:space="preserve"> </w:t>
      </w:r>
    </w:p>
  </w:footnote>
  <w:footnote w:id="5">
    <w:p w:rsidR="00F74ACF" w:rsidP="00F74ACF" w:rsidRDefault="00F74ACF" w14:paraId="2F0CCD1D" w14:textId="77777777">
      <w:pPr>
        <w:pStyle w:val="FootnoteText"/>
      </w:pPr>
      <w:r w:rsidRPr="000C4739">
        <w:rPr>
          <w:rStyle w:val="FootnoteReference"/>
          <w:rFonts w:cs="Arial"/>
          <w:szCs w:val="22"/>
        </w:rPr>
        <w:footnoteRef/>
      </w:r>
      <w:r w:rsidRPr="000C4739">
        <w:rPr>
          <w:rFonts w:cs="Arial"/>
          <w:szCs w:val="22"/>
        </w:rPr>
        <w:t xml:space="preserve"> </w:t>
      </w:r>
      <w:hyperlink w:history="1" r:id="rId4">
        <w:r w:rsidRPr="000C4739">
          <w:rPr>
            <w:rStyle w:val="Hyperlink"/>
            <w:rFonts w:cs="Arial"/>
            <w:szCs w:val="22"/>
          </w:rPr>
          <w:t>https://www.nccmt.ca/knowledge-repositories/search/232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7" w:type="dxa"/>
      <w:tblInd w:w="-8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9CDE" w:themeFill="text2"/>
      <w:tblLayout w:type="fixed"/>
      <w:tblCellMar>
        <w:left w:w="0" w:type="dxa"/>
        <w:right w:w="0" w:type="dxa"/>
      </w:tblCellMar>
      <w:tblLook w:val="04A0" w:firstRow="1" w:lastRow="0" w:firstColumn="1" w:lastColumn="0" w:noHBand="0" w:noVBand="1"/>
    </w:tblPr>
    <w:tblGrid>
      <w:gridCol w:w="2154"/>
      <w:gridCol w:w="284"/>
      <w:gridCol w:w="7030"/>
      <w:gridCol w:w="284"/>
      <w:gridCol w:w="2155"/>
    </w:tblGrid>
    <w:tr w:rsidR="003F6111" w:rsidTr="00D05498" w14:paraId="381002B2" w14:textId="77777777">
      <w:trPr>
        <w:trHeight w:val="397" w:hRule="exact"/>
      </w:trPr>
      <w:tc>
        <w:tcPr>
          <w:tcW w:w="2155" w:type="dxa"/>
          <w:shd w:val="clear" w:color="auto" w:fill="63666A" w:themeFill="text1"/>
        </w:tcPr>
        <w:p w:rsidR="003F6111" w:rsidP="00D05498" w:rsidRDefault="003F6111" w14:paraId="3B279330" w14:textId="77777777">
          <w:pPr>
            <w:pStyle w:val="Header"/>
          </w:pPr>
        </w:p>
      </w:tc>
      <w:tc>
        <w:tcPr>
          <w:tcW w:w="284" w:type="dxa"/>
          <w:shd w:val="clear" w:color="auto" w:fill="auto"/>
        </w:tcPr>
        <w:p w:rsidR="003F6111" w:rsidP="00D05498" w:rsidRDefault="003F6111" w14:paraId="784662B0" w14:textId="77777777">
          <w:pPr>
            <w:pStyle w:val="Header"/>
          </w:pPr>
        </w:p>
      </w:tc>
      <w:tc>
        <w:tcPr>
          <w:tcW w:w="7031" w:type="dxa"/>
          <w:shd w:val="clear" w:color="auto" w:fill="3F9C35" w:themeFill="background2"/>
        </w:tcPr>
        <w:p w:rsidR="003F6111" w:rsidP="00D05498" w:rsidRDefault="003F6111" w14:paraId="3F44FA5D" w14:textId="77777777">
          <w:pPr>
            <w:pStyle w:val="Header"/>
          </w:pPr>
        </w:p>
      </w:tc>
      <w:tc>
        <w:tcPr>
          <w:tcW w:w="284" w:type="dxa"/>
          <w:shd w:val="clear" w:color="auto" w:fill="auto"/>
        </w:tcPr>
        <w:p w:rsidR="003F6111" w:rsidP="00D05498" w:rsidRDefault="003F6111" w14:paraId="5445A883" w14:textId="77777777">
          <w:pPr>
            <w:pStyle w:val="Header"/>
          </w:pPr>
        </w:p>
      </w:tc>
      <w:tc>
        <w:tcPr>
          <w:tcW w:w="2155" w:type="dxa"/>
          <w:shd w:val="clear" w:color="auto" w:fill="009CDE" w:themeFill="text2"/>
        </w:tcPr>
        <w:p w:rsidR="003F6111" w:rsidP="00D05498" w:rsidRDefault="003F6111" w14:paraId="0F5E848E" w14:textId="77777777">
          <w:pPr>
            <w:pStyle w:val="Header"/>
          </w:pPr>
        </w:p>
      </w:tc>
    </w:tr>
  </w:tbl>
  <w:p w:rsidRPr="00D05498" w:rsidR="003F6111" w:rsidP="00D05498" w:rsidRDefault="003F6111" w14:paraId="5944289A" w14:textId="0ADCC27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6869" w:type="dxa"/>
      <w:tblInd w:w="-14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9CDE" w:themeFill="text2"/>
      <w:tblLayout w:type="fixed"/>
      <w:tblCellMar>
        <w:left w:w="0" w:type="dxa"/>
        <w:right w:w="0" w:type="dxa"/>
      </w:tblCellMar>
      <w:tblLook w:val="04A0" w:firstRow="1" w:lastRow="0" w:firstColumn="1" w:lastColumn="0" w:noHBand="0" w:noVBand="1"/>
    </w:tblPr>
    <w:tblGrid>
      <w:gridCol w:w="2721"/>
      <w:gridCol w:w="284"/>
      <w:gridCol w:w="11029"/>
      <w:gridCol w:w="284"/>
      <w:gridCol w:w="2551"/>
    </w:tblGrid>
    <w:tr w:rsidR="000E28B9" w:rsidTr="00672BFB" w14:paraId="740ED382" w14:textId="77777777">
      <w:trPr>
        <w:trHeight w:val="397" w:hRule="exact"/>
      </w:trPr>
      <w:tc>
        <w:tcPr>
          <w:tcW w:w="2721" w:type="dxa"/>
          <w:shd w:val="clear" w:color="auto" w:fill="63666A" w:themeFill="text1"/>
        </w:tcPr>
        <w:p w:rsidR="000E28B9" w:rsidRDefault="000E28B9" w14:paraId="4E5E576C" w14:textId="77777777">
          <w:pPr>
            <w:pStyle w:val="Header"/>
          </w:pPr>
        </w:p>
      </w:tc>
      <w:tc>
        <w:tcPr>
          <w:tcW w:w="284" w:type="dxa"/>
          <w:shd w:val="clear" w:color="auto" w:fill="auto"/>
        </w:tcPr>
        <w:p w:rsidR="000E28B9" w:rsidRDefault="000E28B9" w14:paraId="144CAFEA" w14:textId="77777777">
          <w:pPr>
            <w:pStyle w:val="Header"/>
          </w:pPr>
        </w:p>
      </w:tc>
      <w:tc>
        <w:tcPr>
          <w:tcW w:w="11029" w:type="dxa"/>
          <w:shd w:val="clear" w:color="auto" w:fill="3F9C35" w:themeFill="background2"/>
        </w:tcPr>
        <w:p w:rsidR="000E28B9" w:rsidRDefault="000E28B9" w14:paraId="5D056A24" w14:textId="77777777">
          <w:pPr>
            <w:pStyle w:val="Header"/>
          </w:pPr>
        </w:p>
      </w:tc>
      <w:tc>
        <w:tcPr>
          <w:tcW w:w="284" w:type="dxa"/>
          <w:shd w:val="clear" w:color="auto" w:fill="auto"/>
        </w:tcPr>
        <w:p w:rsidR="000E28B9" w:rsidRDefault="000E28B9" w14:paraId="33C5C185" w14:textId="77777777">
          <w:pPr>
            <w:pStyle w:val="Header"/>
          </w:pPr>
        </w:p>
      </w:tc>
      <w:tc>
        <w:tcPr>
          <w:tcW w:w="2551" w:type="dxa"/>
          <w:shd w:val="clear" w:color="auto" w:fill="009CDE" w:themeFill="text2"/>
        </w:tcPr>
        <w:p w:rsidR="000E28B9" w:rsidRDefault="000E28B9" w14:paraId="449DC802" w14:textId="77777777">
          <w:pPr>
            <w:pStyle w:val="Header"/>
          </w:pPr>
        </w:p>
      </w:tc>
    </w:tr>
  </w:tbl>
  <w:p w:rsidRPr="00D05498" w:rsidR="000E28B9" w:rsidRDefault="000E28B9" w14:paraId="77D519CF" w14:textId="2F5BC24B">
    <w:pPr>
      <w:pStyle w:val="Header"/>
    </w:pPr>
  </w:p>
  <w:p w:rsidRPr="00D05498" w:rsidR="003F6111" w:rsidP="00D05498" w:rsidRDefault="003F6111" w14:paraId="454C1681" w14:textId="77777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6869" w:type="dxa"/>
      <w:tblInd w:w="-14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9CDE" w:themeFill="text2"/>
      <w:tblLayout w:type="fixed"/>
      <w:tblCellMar>
        <w:left w:w="0" w:type="dxa"/>
        <w:right w:w="0" w:type="dxa"/>
      </w:tblCellMar>
      <w:tblLook w:val="04A0" w:firstRow="1" w:lastRow="0" w:firstColumn="1" w:lastColumn="0" w:noHBand="0" w:noVBand="1"/>
    </w:tblPr>
    <w:tblGrid>
      <w:gridCol w:w="16869"/>
    </w:tblGrid>
    <w:tr w:rsidR="000E28B9" w:rsidTr="00672BFB" w14:paraId="7EF556F5" w14:textId="77777777">
      <w:trPr>
        <w:trHeight w:val="397" w:hRule="exact"/>
      </w:trPr>
      <w:tc>
        <w:tcPr>
          <w:tcW w:w="16869" w:type="dxa"/>
          <w:shd w:val="clear" w:color="auto" w:fill="009CDE" w:themeFill="text2"/>
        </w:tcPr>
        <w:p w:rsidR="000E28B9" w:rsidRDefault="000E28B9" w14:paraId="3DA1B04D" w14:textId="77777777">
          <w:pPr>
            <w:pStyle w:val="Header"/>
          </w:pPr>
          <w:bookmarkStart w:name="_Hlk139644935" w:id="130"/>
        </w:p>
      </w:tc>
    </w:tr>
    <w:bookmarkEnd w:id="130"/>
  </w:tbl>
  <w:p w:rsidR="000E28B9" w:rsidRDefault="000E28B9" w14:paraId="2515DECE" w14:textId="6E39756F">
    <w:pPr>
      <w:pStyle w:val="Header"/>
    </w:pPr>
  </w:p>
  <w:p w:rsidR="003F6111" w:rsidP="00D05498" w:rsidRDefault="003F6111" w14:paraId="53114A98" w14:textId="777777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vertAnchor="page" w:horzAnchor="page" w:tblpX="1" w:tblpY="1"/>
      <w:tblOverlap w:val="never"/>
      <w:tblW w:w="119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Caption w:val="TOC|FirstPage"/>
    </w:tblPr>
    <w:tblGrid>
      <w:gridCol w:w="11907"/>
    </w:tblGrid>
    <w:tr w:rsidR="003F6111" w:rsidTr="003B1C3D" w14:paraId="62D4F72B" w14:textId="77777777">
      <w:trPr>
        <w:trHeight w:val="5387" w:hRule="exact"/>
      </w:trPr>
      <w:tc>
        <w:tcPr>
          <w:tcW w:w="11907" w:type="dxa"/>
          <w:shd w:val="clear" w:color="auto" w:fill="auto"/>
        </w:tcPr>
        <w:p w:rsidR="003F6111" w:rsidP="00960BD4" w:rsidRDefault="003F6111" w14:paraId="1D9E7400" w14:textId="77777777">
          <w:pPr>
            <w:pStyle w:val="Header"/>
          </w:pPr>
        </w:p>
      </w:tc>
    </w:tr>
  </w:tbl>
  <w:p w:rsidRPr="00960BD4" w:rsidR="003F6111" w:rsidP="00960BD4" w:rsidRDefault="003F6111" w14:paraId="1F1B1E4A" w14:textId="418BE84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7" w:type="dxa"/>
      <w:tblInd w:w="-8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9CDE" w:themeFill="text2"/>
      <w:tblLayout w:type="fixed"/>
      <w:tblCellMar>
        <w:left w:w="0" w:type="dxa"/>
        <w:right w:w="0" w:type="dxa"/>
      </w:tblCellMar>
      <w:tblLook w:val="04A0" w:firstRow="1" w:lastRow="0" w:firstColumn="1" w:lastColumn="0" w:noHBand="0" w:noVBand="1"/>
    </w:tblPr>
    <w:tblGrid>
      <w:gridCol w:w="2154"/>
      <w:gridCol w:w="284"/>
      <w:gridCol w:w="7030"/>
      <w:gridCol w:w="284"/>
      <w:gridCol w:w="2155"/>
    </w:tblGrid>
    <w:tr w:rsidR="003F6111" w:rsidTr="00D05498" w14:paraId="50D7D42E" w14:textId="77777777">
      <w:trPr>
        <w:trHeight w:val="397" w:hRule="exact"/>
      </w:trPr>
      <w:tc>
        <w:tcPr>
          <w:tcW w:w="2155" w:type="dxa"/>
          <w:shd w:val="clear" w:color="auto" w:fill="63666A" w:themeFill="text1"/>
        </w:tcPr>
        <w:p w:rsidR="003F6111" w:rsidP="00D05498" w:rsidRDefault="003F6111" w14:paraId="487116EE" w14:textId="77777777">
          <w:pPr>
            <w:pStyle w:val="Header"/>
          </w:pPr>
        </w:p>
      </w:tc>
      <w:tc>
        <w:tcPr>
          <w:tcW w:w="284" w:type="dxa"/>
          <w:shd w:val="clear" w:color="auto" w:fill="auto"/>
        </w:tcPr>
        <w:p w:rsidR="003F6111" w:rsidP="00D05498" w:rsidRDefault="003F6111" w14:paraId="3589951C" w14:textId="77777777">
          <w:pPr>
            <w:pStyle w:val="Header"/>
          </w:pPr>
        </w:p>
      </w:tc>
      <w:tc>
        <w:tcPr>
          <w:tcW w:w="7031" w:type="dxa"/>
          <w:shd w:val="clear" w:color="auto" w:fill="3F9C35" w:themeFill="background2"/>
        </w:tcPr>
        <w:p w:rsidR="003F6111" w:rsidP="00D05498" w:rsidRDefault="003F6111" w14:paraId="7A2A152E" w14:textId="77777777">
          <w:pPr>
            <w:pStyle w:val="Header"/>
          </w:pPr>
        </w:p>
      </w:tc>
      <w:tc>
        <w:tcPr>
          <w:tcW w:w="284" w:type="dxa"/>
          <w:shd w:val="clear" w:color="auto" w:fill="auto"/>
        </w:tcPr>
        <w:p w:rsidR="003F6111" w:rsidP="00D05498" w:rsidRDefault="003F6111" w14:paraId="3B7B86E3" w14:textId="77777777">
          <w:pPr>
            <w:pStyle w:val="Header"/>
          </w:pPr>
        </w:p>
      </w:tc>
      <w:tc>
        <w:tcPr>
          <w:tcW w:w="2155" w:type="dxa"/>
          <w:shd w:val="clear" w:color="auto" w:fill="009CDE" w:themeFill="text2"/>
        </w:tcPr>
        <w:p w:rsidR="003F6111" w:rsidP="00D05498" w:rsidRDefault="003F6111" w14:paraId="0CF29200" w14:textId="77777777">
          <w:pPr>
            <w:pStyle w:val="Header"/>
          </w:pPr>
        </w:p>
      </w:tc>
    </w:tr>
  </w:tbl>
  <w:p w:rsidRPr="00D05498" w:rsidR="003F6111" w:rsidP="00D05498" w:rsidRDefault="003F6111" w14:paraId="02F3BBCF" w14:textId="1B10139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6869" w:type="dxa"/>
      <w:tblInd w:w="-14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9CDE" w:themeFill="text2"/>
      <w:tblLayout w:type="fixed"/>
      <w:tblCellMar>
        <w:left w:w="0" w:type="dxa"/>
        <w:right w:w="0" w:type="dxa"/>
      </w:tblCellMar>
      <w:tblLook w:val="04A0" w:firstRow="1" w:lastRow="0" w:firstColumn="1" w:lastColumn="0" w:noHBand="0" w:noVBand="1"/>
    </w:tblPr>
    <w:tblGrid>
      <w:gridCol w:w="16869"/>
    </w:tblGrid>
    <w:tr w:rsidR="00672BFB" w14:paraId="442F1C40" w14:textId="77777777">
      <w:trPr>
        <w:trHeight w:val="397" w:hRule="exact"/>
      </w:trPr>
      <w:tc>
        <w:tcPr>
          <w:tcW w:w="16869" w:type="dxa"/>
          <w:shd w:val="clear" w:color="auto" w:fill="009CDE" w:themeFill="text2"/>
        </w:tcPr>
        <w:p w:rsidR="00672BFB" w:rsidP="00672BFB" w:rsidRDefault="00672BFB" w14:paraId="6365670C" w14:textId="77777777">
          <w:pPr>
            <w:pStyle w:val="Header"/>
          </w:pPr>
        </w:p>
      </w:tc>
    </w:tr>
  </w:tbl>
  <w:p w:rsidRPr="001D7ADE" w:rsidR="003F6111" w:rsidP="00E8053A" w:rsidRDefault="003F6111" w14:paraId="414C2C6C" w14:textId="52CB861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6869" w:type="dxa"/>
      <w:tblInd w:w="-14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9CDE" w:themeFill="text2"/>
      <w:tblLayout w:type="fixed"/>
      <w:tblCellMar>
        <w:left w:w="0" w:type="dxa"/>
        <w:right w:w="0" w:type="dxa"/>
      </w:tblCellMar>
      <w:tblLook w:val="04A0" w:firstRow="1" w:lastRow="0" w:firstColumn="1" w:lastColumn="0" w:noHBand="0" w:noVBand="1"/>
    </w:tblPr>
    <w:tblGrid>
      <w:gridCol w:w="16869"/>
    </w:tblGrid>
    <w:tr w:rsidR="00672BFB" w14:paraId="5C1353D6" w14:textId="77777777">
      <w:trPr>
        <w:trHeight w:val="397" w:hRule="exact"/>
      </w:trPr>
      <w:tc>
        <w:tcPr>
          <w:tcW w:w="16869" w:type="dxa"/>
          <w:shd w:val="clear" w:color="auto" w:fill="009CDE" w:themeFill="text2"/>
        </w:tcPr>
        <w:p w:rsidR="00672BFB" w:rsidP="00672BFB" w:rsidRDefault="00672BFB" w14:paraId="2BCC6A36" w14:textId="77777777">
          <w:pPr>
            <w:pStyle w:val="Header"/>
          </w:pPr>
        </w:p>
      </w:tc>
    </w:tr>
  </w:tbl>
  <w:p w:rsidRPr="006F3D43" w:rsidR="003F6111" w:rsidP="006F3D43" w:rsidRDefault="003F6111" w14:paraId="3BD82153" w14:textId="2D5B1A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7" w:type="dxa"/>
      <w:tblInd w:w="-8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9CDE" w:themeFill="text2"/>
      <w:tblLayout w:type="fixed"/>
      <w:tblCellMar>
        <w:left w:w="0" w:type="dxa"/>
        <w:right w:w="0" w:type="dxa"/>
      </w:tblCellMar>
      <w:tblLook w:val="04A0" w:firstRow="1" w:lastRow="0" w:firstColumn="1" w:lastColumn="0" w:noHBand="0" w:noVBand="1"/>
    </w:tblPr>
    <w:tblGrid>
      <w:gridCol w:w="11907"/>
    </w:tblGrid>
    <w:tr w:rsidR="003F6111" w:rsidTr="00D05498" w14:paraId="01225571" w14:textId="77777777">
      <w:trPr>
        <w:trHeight w:val="397" w:hRule="exact"/>
      </w:trPr>
      <w:tc>
        <w:tcPr>
          <w:tcW w:w="11907" w:type="dxa"/>
          <w:shd w:val="clear" w:color="auto" w:fill="009CDE" w:themeFill="text2"/>
        </w:tcPr>
        <w:p w:rsidR="003F6111" w:rsidP="00D05498" w:rsidRDefault="003F6111" w14:paraId="0B8B7C0A" w14:textId="77777777">
          <w:pPr>
            <w:pStyle w:val="Header"/>
          </w:pPr>
        </w:p>
      </w:tc>
    </w:tr>
  </w:tbl>
  <w:p w:rsidRPr="00D05498" w:rsidR="003F6111" w:rsidP="00D05498" w:rsidRDefault="003F6111" w14:paraId="1D34804F" w14:textId="521E37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93"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Caption w:val="Layout1"/>
    </w:tblPr>
    <w:tblGrid>
      <w:gridCol w:w="5444"/>
      <w:gridCol w:w="4649"/>
    </w:tblGrid>
    <w:tr w:rsidR="003F6111" w:rsidTr="00E36E27" w14:paraId="27D18971" w14:textId="77777777">
      <w:trPr>
        <w:trHeight w:val="11425" w:hRule="exact"/>
      </w:trPr>
      <w:tc>
        <w:tcPr>
          <w:tcW w:w="5444" w:type="dxa"/>
        </w:tcPr>
        <w:p w:rsidR="003F6111" w:rsidP="0051579F" w:rsidRDefault="003F6111" w14:paraId="67A3B79D" w14:textId="77777777">
          <w:pPr>
            <w:pStyle w:val="Header"/>
          </w:pPr>
        </w:p>
      </w:tc>
      <w:tc>
        <w:tcPr>
          <w:tcW w:w="4649" w:type="dxa"/>
          <w:shd w:val="clear" w:color="auto" w:fill="009CDE" w:themeFill="text2"/>
          <w:vAlign w:val="bottom"/>
        </w:tcPr>
        <w:p w:rsidR="003F6111" w:rsidP="0051579F" w:rsidRDefault="003F6111" w14:paraId="0EC7F368" w14:textId="77777777">
          <w:pPr>
            <w:pStyle w:val="Header"/>
          </w:pPr>
        </w:p>
      </w:tc>
    </w:tr>
  </w:tbl>
  <w:p w:rsidRPr="00C35A87" w:rsidR="003F6111" w:rsidP="0017743A" w:rsidRDefault="003F6111" w14:paraId="2C92716B" w14:textId="058CEFEB">
    <w:pPr>
      <w:pStyle w:val="TitleHeaderEn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7" w:type="dxa"/>
      <w:tblInd w:w="-8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9CDE" w:themeFill="text2"/>
      <w:tblLayout w:type="fixed"/>
      <w:tblCellMar>
        <w:left w:w="0" w:type="dxa"/>
        <w:right w:w="0" w:type="dxa"/>
      </w:tblCellMar>
      <w:tblLook w:val="04A0" w:firstRow="1" w:lastRow="0" w:firstColumn="1" w:lastColumn="0" w:noHBand="0" w:noVBand="1"/>
    </w:tblPr>
    <w:tblGrid>
      <w:gridCol w:w="2154"/>
      <w:gridCol w:w="284"/>
      <w:gridCol w:w="7030"/>
      <w:gridCol w:w="284"/>
      <w:gridCol w:w="2155"/>
    </w:tblGrid>
    <w:tr w:rsidR="00EE26DE" w14:paraId="6A1E04C2" w14:textId="77777777">
      <w:trPr>
        <w:trHeight w:val="397" w:hRule="exact"/>
      </w:trPr>
      <w:tc>
        <w:tcPr>
          <w:tcW w:w="2155" w:type="dxa"/>
          <w:shd w:val="clear" w:color="auto" w:fill="63666A" w:themeFill="text1"/>
        </w:tcPr>
        <w:p w:rsidR="00EE26DE" w:rsidRDefault="00EE26DE" w14:paraId="59D9EA2C" w14:textId="77777777">
          <w:pPr>
            <w:pStyle w:val="Header"/>
          </w:pPr>
        </w:p>
      </w:tc>
      <w:tc>
        <w:tcPr>
          <w:tcW w:w="284" w:type="dxa"/>
          <w:shd w:val="clear" w:color="auto" w:fill="auto"/>
        </w:tcPr>
        <w:p w:rsidR="00EE26DE" w:rsidRDefault="00EE26DE" w14:paraId="17F982D0" w14:textId="77777777">
          <w:pPr>
            <w:pStyle w:val="Header"/>
          </w:pPr>
        </w:p>
      </w:tc>
      <w:tc>
        <w:tcPr>
          <w:tcW w:w="7031" w:type="dxa"/>
          <w:shd w:val="clear" w:color="auto" w:fill="3F9C35" w:themeFill="background2"/>
        </w:tcPr>
        <w:p w:rsidR="00EE26DE" w:rsidRDefault="00EE26DE" w14:paraId="5A1C1D75" w14:textId="77777777">
          <w:pPr>
            <w:pStyle w:val="Header"/>
          </w:pPr>
        </w:p>
      </w:tc>
      <w:tc>
        <w:tcPr>
          <w:tcW w:w="284" w:type="dxa"/>
          <w:shd w:val="clear" w:color="auto" w:fill="auto"/>
        </w:tcPr>
        <w:p w:rsidR="00EE26DE" w:rsidRDefault="00EE26DE" w14:paraId="03A2FEAE" w14:textId="77777777">
          <w:pPr>
            <w:pStyle w:val="Header"/>
          </w:pPr>
        </w:p>
      </w:tc>
      <w:tc>
        <w:tcPr>
          <w:tcW w:w="2155" w:type="dxa"/>
          <w:shd w:val="clear" w:color="auto" w:fill="009CDE" w:themeFill="text2"/>
        </w:tcPr>
        <w:p w:rsidR="00EE26DE" w:rsidRDefault="00EE26DE" w14:paraId="1F10FF47" w14:textId="77777777">
          <w:pPr>
            <w:pStyle w:val="Header"/>
          </w:pPr>
        </w:p>
      </w:tc>
    </w:tr>
  </w:tbl>
  <w:p w:rsidRPr="00D05498" w:rsidR="00EE26DE" w:rsidRDefault="00EE26DE" w14:paraId="1CA968A3" w14:textId="4EF51FAA">
    <w:pPr>
      <w:pStyle w:val="Header"/>
    </w:pPr>
  </w:p>
  <w:p w:rsidRPr="00D05498" w:rsidR="00EE26DE" w:rsidP="00D05498" w:rsidRDefault="00EE26DE" w14:paraId="2A1FE6BE"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7" w:type="dxa"/>
      <w:tblInd w:w="-8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9CDE" w:themeFill="text2"/>
      <w:tblLayout w:type="fixed"/>
      <w:tblCellMar>
        <w:left w:w="0" w:type="dxa"/>
        <w:right w:w="0" w:type="dxa"/>
      </w:tblCellMar>
      <w:tblLook w:val="04A0" w:firstRow="1" w:lastRow="0" w:firstColumn="1" w:lastColumn="0" w:noHBand="0" w:noVBand="1"/>
    </w:tblPr>
    <w:tblGrid>
      <w:gridCol w:w="11907"/>
    </w:tblGrid>
    <w:tr w:rsidR="00EE26DE" w14:paraId="56B9E9C9" w14:textId="77777777">
      <w:trPr>
        <w:trHeight w:val="397" w:hRule="exact"/>
      </w:trPr>
      <w:tc>
        <w:tcPr>
          <w:tcW w:w="11907" w:type="dxa"/>
          <w:shd w:val="clear" w:color="auto" w:fill="009CDE" w:themeFill="text2"/>
        </w:tcPr>
        <w:p w:rsidR="00EE26DE" w:rsidRDefault="00EE26DE" w14:paraId="55952BB0" w14:textId="77777777">
          <w:pPr>
            <w:pStyle w:val="Header"/>
          </w:pPr>
        </w:p>
      </w:tc>
    </w:tr>
  </w:tbl>
  <w:p w:rsidR="00EE26DE" w:rsidRDefault="00EE26DE" w14:paraId="354A9E9C" w14:textId="2CCCA2BD">
    <w:pPr>
      <w:pStyle w:val="Header"/>
    </w:pPr>
  </w:p>
  <w:p w:rsidR="00EE26DE" w:rsidP="00D05498" w:rsidRDefault="00EE26DE" w14:paraId="0AB3914E"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vertAnchor="page" w:horzAnchor="page" w:tblpX="1" w:tblpY="1"/>
      <w:tblOverlap w:val="never"/>
      <w:tblW w:w="119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Caption w:val="TOC|FirstPage"/>
    </w:tblPr>
    <w:tblGrid>
      <w:gridCol w:w="11907"/>
    </w:tblGrid>
    <w:tr w:rsidR="00EE26DE" w:rsidTr="003B1C3D" w14:paraId="255DBCB1" w14:textId="77777777">
      <w:trPr>
        <w:trHeight w:val="5387" w:hRule="exact"/>
      </w:trPr>
      <w:tc>
        <w:tcPr>
          <w:tcW w:w="11907" w:type="dxa"/>
          <w:shd w:val="clear" w:color="auto" w:fill="auto"/>
        </w:tcPr>
        <w:p w:rsidR="00EE26DE" w:rsidP="00960BD4" w:rsidRDefault="00EE26DE" w14:paraId="1603A857" w14:textId="77777777">
          <w:pPr>
            <w:pStyle w:val="Header"/>
          </w:pPr>
        </w:p>
      </w:tc>
    </w:tr>
  </w:tbl>
  <w:p w:rsidRPr="00960BD4" w:rsidR="00EE26DE" w:rsidP="00960BD4" w:rsidRDefault="00EE26DE" w14:paraId="181C96CA" w14:textId="326B06E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6869" w:type="dxa"/>
      <w:tblInd w:w="-14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9CDE" w:themeFill="text2"/>
      <w:tblLayout w:type="fixed"/>
      <w:tblCellMar>
        <w:left w:w="0" w:type="dxa"/>
        <w:right w:w="0" w:type="dxa"/>
      </w:tblCellMar>
      <w:tblLook w:val="04A0" w:firstRow="1" w:lastRow="0" w:firstColumn="1" w:lastColumn="0" w:noHBand="0" w:noVBand="1"/>
    </w:tblPr>
    <w:tblGrid>
      <w:gridCol w:w="2721"/>
      <w:gridCol w:w="284"/>
      <w:gridCol w:w="11029"/>
      <w:gridCol w:w="284"/>
      <w:gridCol w:w="2551"/>
    </w:tblGrid>
    <w:tr w:rsidR="0089037E" w:rsidTr="00672BFB" w14:paraId="1CDBB3C8" w14:textId="77777777">
      <w:trPr>
        <w:trHeight w:val="397" w:hRule="exact"/>
      </w:trPr>
      <w:tc>
        <w:tcPr>
          <w:tcW w:w="2721" w:type="dxa"/>
          <w:shd w:val="clear" w:color="auto" w:fill="63666A" w:themeFill="text1"/>
        </w:tcPr>
        <w:p w:rsidR="0089037E" w:rsidRDefault="0089037E" w14:paraId="3715AA0A" w14:textId="77777777">
          <w:pPr>
            <w:pStyle w:val="Header"/>
          </w:pPr>
        </w:p>
      </w:tc>
      <w:tc>
        <w:tcPr>
          <w:tcW w:w="284" w:type="dxa"/>
          <w:shd w:val="clear" w:color="auto" w:fill="auto"/>
        </w:tcPr>
        <w:p w:rsidR="0089037E" w:rsidRDefault="0089037E" w14:paraId="55290B49" w14:textId="77777777">
          <w:pPr>
            <w:pStyle w:val="Header"/>
          </w:pPr>
        </w:p>
      </w:tc>
      <w:tc>
        <w:tcPr>
          <w:tcW w:w="11029" w:type="dxa"/>
          <w:shd w:val="clear" w:color="auto" w:fill="3F9C35" w:themeFill="background2"/>
        </w:tcPr>
        <w:p w:rsidR="0089037E" w:rsidRDefault="0089037E" w14:paraId="22A2DE91" w14:textId="77777777">
          <w:pPr>
            <w:pStyle w:val="Header"/>
          </w:pPr>
        </w:p>
      </w:tc>
      <w:tc>
        <w:tcPr>
          <w:tcW w:w="284" w:type="dxa"/>
          <w:shd w:val="clear" w:color="auto" w:fill="auto"/>
        </w:tcPr>
        <w:p w:rsidR="0089037E" w:rsidRDefault="0089037E" w14:paraId="5D411B7E" w14:textId="77777777">
          <w:pPr>
            <w:pStyle w:val="Header"/>
          </w:pPr>
        </w:p>
      </w:tc>
      <w:tc>
        <w:tcPr>
          <w:tcW w:w="2551" w:type="dxa"/>
          <w:shd w:val="clear" w:color="auto" w:fill="009CDE" w:themeFill="text2"/>
        </w:tcPr>
        <w:p w:rsidR="0089037E" w:rsidRDefault="0089037E" w14:paraId="25C8A12B" w14:textId="77777777">
          <w:pPr>
            <w:pStyle w:val="Header"/>
          </w:pPr>
        </w:p>
      </w:tc>
    </w:tr>
  </w:tbl>
  <w:p w:rsidRPr="00D05498" w:rsidR="0089037E" w:rsidRDefault="0089037E" w14:paraId="338CCC3C" w14:textId="77777777">
    <w:pPr>
      <w:pStyle w:val="Header"/>
    </w:pPr>
  </w:p>
  <w:p w:rsidRPr="00D05498" w:rsidR="0089037E" w:rsidP="00D05498" w:rsidRDefault="0089037E" w14:paraId="3B83E5B3"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6869" w:type="dxa"/>
      <w:tblInd w:w="-14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9CDE" w:themeFill="text2"/>
      <w:tblLayout w:type="fixed"/>
      <w:tblCellMar>
        <w:left w:w="0" w:type="dxa"/>
        <w:right w:w="0" w:type="dxa"/>
      </w:tblCellMar>
      <w:tblLook w:val="04A0" w:firstRow="1" w:lastRow="0" w:firstColumn="1" w:lastColumn="0" w:noHBand="0" w:noVBand="1"/>
    </w:tblPr>
    <w:tblGrid>
      <w:gridCol w:w="16869"/>
    </w:tblGrid>
    <w:tr w:rsidR="0089037E" w:rsidTr="00672BFB" w14:paraId="23FF1012" w14:textId="77777777">
      <w:trPr>
        <w:trHeight w:val="397" w:hRule="exact"/>
      </w:trPr>
      <w:tc>
        <w:tcPr>
          <w:tcW w:w="16869" w:type="dxa"/>
          <w:shd w:val="clear" w:color="auto" w:fill="009CDE" w:themeFill="text2"/>
        </w:tcPr>
        <w:p w:rsidR="0089037E" w:rsidRDefault="0089037E" w14:paraId="51C23F31" w14:textId="77777777">
          <w:pPr>
            <w:pStyle w:val="Header"/>
          </w:pPr>
        </w:p>
      </w:tc>
    </w:tr>
  </w:tbl>
  <w:p w:rsidR="0089037E" w:rsidRDefault="0089037E" w14:paraId="0B185124" w14:textId="77777777">
    <w:pPr>
      <w:pStyle w:val="Header"/>
    </w:pPr>
  </w:p>
  <w:p w:rsidR="0089037E" w:rsidP="00D05498" w:rsidRDefault="0089037E" w14:paraId="3EED9A4F"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vertAnchor="page" w:horzAnchor="page" w:tblpX="1" w:tblpY="1"/>
      <w:tblOverlap w:val="never"/>
      <w:tblW w:w="119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Caption w:val="TOC|FirstPage"/>
    </w:tblPr>
    <w:tblGrid>
      <w:gridCol w:w="11907"/>
    </w:tblGrid>
    <w:tr w:rsidR="0089037E" w:rsidTr="003B1C3D" w14:paraId="5AB42AC7" w14:textId="77777777">
      <w:trPr>
        <w:trHeight w:val="5387" w:hRule="exact"/>
      </w:trPr>
      <w:tc>
        <w:tcPr>
          <w:tcW w:w="11907" w:type="dxa"/>
          <w:shd w:val="clear" w:color="auto" w:fill="auto"/>
        </w:tcPr>
        <w:p w:rsidR="0089037E" w:rsidP="00960BD4" w:rsidRDefault="0089037E" w14:paraId="41D31AB3" w14:textId="77777777">
          <w:pPr>
            <w:pStyle w:val="Header"/>
          </w:pPr>
        </w:p>
      </w:tc>
    </w:tr>
  </w:tbl>
  <w:p w:rsidRPr="00960BD4" w:rsidR="0089037E" w:rsidP="00960BD4" w:rsidRDefault="0089037E" w14:paraId="4CDA07C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90CA3"/>
    <w:multiLevelType w:val="multilevel"/>
    <w:tmpl w:val="0540B7A6"/>
    <w:numStyleLink w:val="NumbLstBullet"/>
  </w:abstractNum>
  <w:abstractNum w:abstractNumId="1" w15:restartNumberingAfterBreak="0">
    <w:nsid w:val="04C9448F"/>
    <w:multiLevelType w:val="hybridMultilevel"/>
    <w:tmpl w:val="D5887E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E6A044"/>
    <w:multiLevelType w:val="hybridMultilevel"/>
    <w:tmpl w:val="35AEC3EC"/>
    <w:lvl w:ilvl="0" w:tplc="E2F0D11C">
      <w:start w:val="1"/>
      <w:numFmt w:val="bullet"/>
      <w:lvlText w:val="·"/>
      <w:lvlJc w:val="left"/>
      <w:pPr>
        <w:ind w:left="720" w:hanging="360"/>
      </w:pPr>
      <w:rPr>
        <w:rFonts w:hint="default" w:ascii="Symbol" w:hAnsi="Symbol"/>
      </w:rPr>
    </w:lvl>
    <w:lvl w:ilvl="1" w:tplc="B7F6ED34">
      <w:start w:val="1"/>
      <w:numFmt w:val="bullet"/>
      <w:lvlText w:val="o"/>
      <w:lvlJc w:val="left"/>
      <w:pPr>
        <w:ind w:left="1440" w:hanging="360"/>
      </w:pPr>
      <w:rPr>
        <w:rFonts w:hint="default" w:ascii="Courier New" w:hAnsi="Courier New"/>
      </w:rPr>
    </w:lvl>
    <w:lvl w:ilvl="2" w:tplc="9D16CDCC">
      <w:start w:val="1"/>
      <w:numFmt w:val="bullet"/>
      <w:lvlText w:val=""/>
      <w:lvlJc w:val="left"/>
      <w:pPr>
        <w:ind w:left="2160" w:hanging="360"/>
      </w:pPr>
      <w:rPr>
        <w:rFonts w:hint="default" w:ascii="Wingdings" w:hAnsi="Wingdings"/>
      </w:rPr>
    </w:lvl>
    <w:lvl w:ilvl="3" w:tplc="C0A4F8C6">
      <w:start w:val="1"/>
      <w:numFmt w:val="bullet"/>
      <w:lvlText w:val=""/>
      <w:lvlJc w:val="left"/>
      <w:pPr>
        <w:ind w:left="2880" w:hanging="360"/>
      </w:pPr>
      <w:rPr>
        <w:rFonts w:hint="default" w:ascii="Symbol" w:hAnsi="Symbol"/>
      </w:rPr>
    </w:lvl>
    <w:lvl w:ilvl="4" w:tplc="5C28DA52">
      <w:start w:val="1"/>
      <w:numFmt w:val="bullet"/>
      <w:lvlText w:val="o"/>
      <w:lvlJc w:val="left"/>
      <w:pPr>
        <w:ind w:left="3600" w:hanging="360"/>
      </w:pPr>
      <w:rPr>
        <w:rFonts w:hint="default" w:ascii="Courier New" w:hAnsi="Courier New"/>
      </w:rPr>
    </w:lvl>
    <w:lvl w:ilvl="5" w:tplc="20526356">
      <w:start w:val="1"/>
      <w:numFmt w:val="bullet"/>
      <w:lvlText w:val=""/>
      <w:lvlJc w:val="left"/>
      <w:pPr>
        <w:ind w:left="4320" w:hanging="360"/>
      </w:pPr>
      <w:rPr>
        <w:rFonts w:hint="default" w:ascii="Wingdings" w:hAnsi="Wingdings"/>
      </w:rPr>
    </w:lvl>
    <w:lvl w:ilvl="6" w:tplc="7256C7AE">
      <w:start w:val="1"/>
      <w:numFmt w:val="bullet"/>
      <w:lvlText w:val=""/>
      <w:lvlJc w:val="left"/>
      <w:pPr>
        <w:ind w:left="5040" w:hanging="360"/>
      </w:pPr>
      <w:rPr>
        <w:rFonts w:hint="default" w:ascii="Symbol" w:hAnsi="Symbol"/>
      </w:rPr>
    </w:lvl>
    <w:lvl w:ilvl="7" w:tplc="0A8E400E">
      <w:start w:val="1"/>
      <w:numFmt w:val="bullet"/>
      <w:lvlText w:val="o"/>
      <w:lvlJc w:val="left"/>
      <w:pPr>
        <w:ind w:left="5760" w:hanging="360"/>
      </w:pPr>
      <w:rPr>
        <w:rFonts w:hint="default" w:ascii="Courier New" w:hAnsi="Courier New"/>
      </w:rPr>
    </w:lvl>
    <w:lvl w:ilvl="8" w:tplc="A7C81422">
      <w:start w:val="1"/>
      <w:numFmt w:val="bullet"/>
      <w:lvlText w:val=""/>
      <w:lvlJc w:val="left"/>
      <w:pPr>
        <w:ind w:left="6480" w:hanging="360"/>
      </w:pPr>
      <w:rPr>
        <w:rFonts w:hint="default" w:ascii="Wingdings" w:hAnsi="Wingdings"/>
      </w:rPr>
    </w:lvl>
  </w:abstractNum>
  <w:abstractNum w:abstractNumId="3" w15:restartNumberingAfterBreak="0">
    <w:nsid w:val="0B2E0404"/>
    <w:multiLevelType w:val="hybridMultilevel"/>
    <w:tmpl w:val="891A2E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E3F3AF4"/>
    <w:multiLevelType w:val="hybridMultilevel"/>
    <w:tmpl w:val="BF3845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4094256"/>
    <w:multiLevelType w:val="hybridMultilevel"/>
    <w:tmpl w:val="5F5E15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68B17C6"/>
    <w:multiLevelType w:val="hybridMultilevel"/>
    <w:tmpl w:val="5AC4A4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B6058BF"/>
    <w:multiLevelType w:val="multilevel"/>
    <w:tmpl w:val="786417C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F06A30"/>
    <w:multiLevelType w:val="hybridMultilevel"/>
    <w:tmpl w:val="032880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EE321BD"/>
    <w:multiLevelType w:val="hybridMultilevel"/>
    <w:tmpl w:val="BB16D5D4"/>
    <w:lvl w:ilvl="0" w:tplc="FFFFFFFF">
      <w:start w:val="1"/>
      <w:numFmt w:val="decimal"/>
      <w:lvlText w:val="%1)"/>
      <w:lvlJc w:val="left"/>
      <w:pPr>
        <w:ind w:left="643"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F62242E"/>
    <w:multiLevelType w:val="multilevel"/>
    <w:tmpl w:val="49AE119E"/>
    <w:styleLink w:val="NumbLstTables"/>
    <w:lvl w:ilvl="0">
      <w:start w:val="1"/>
      <w:numFmt w:val="decimal"/>
      <w:lvlText w:val="%1."/>
      <w:lvlJc w:val="left"/>
      <w:pPr>
        <w:tabs>
          <w:tab w:val="num" w:pos="397"/>
        </w:tabs>
        <w:ind w:left="397" w:hanging="340"/>
      </w:pPr>
      <w:rPr>
        <w:rFonts w:hint="default"/>
      </w:rPr>
    </w:lvl>
    <w:lvl w:ilvl="1">
      <w:start w:val="1"/>
      <w:numFmt w:val="lowerLetter"/>
      <w:lvlText w:val="%2."/>
      <w:lvlJc w:val="left"/>
      <w:pPr>
        <w:tabs>
          <w:tab w:val="num" w:pos="737"/>
        </w:tabs>
        <w:ind w:left="737" w:hanging="340"/>
      </w:pPr>
      <w:rPr>
        <w:rFonts w:hint="default"/>
      </w:rPr>
    </w:lvl>
    <w:lvl w:ilvl="2">
      <w:start w:val="1"/>
      <w:numFmt w:val="bullet"/>
      <w:lvlText w:val=""/>
      <w:lvlJc w:val="left"/>
      <w:pPr>
        <w:tabs>
          <w:tab w:val="num" w:pos="340"/>
        </w:tabs>
        <w:ind w:left="397" w:hanging="340"/>
      </w:pPr>
      <w:rPr>
        <w:rFonts w:hint="default" w:ascii="Symbol" w:hAnsi="Symbol"/>
        <w:color w:val="63666A" w:themeColor="text1"/>
      </w:rPr>
    </w:lvl>
    <w:lvl w:ilvl="3">
      <w:start w:val="1"/>
      <w:numFmt w:val="bullet"/>
      <w:lvlText w:val="–"/>
      <w:lvlJc w:val="left"/>
      <w:pPr>
        <w:tabs>
          <w:tab w:val="num" w:pos="737"/>
        </w:tabs>
        <w:ind w:left="737" w:hanging="397"/>
      </w:pPr>
      <w:rPr>
        <w:rFonts w:hint="default" w:ascii="Calibri" w:hAnsi="Calibri"/>
        <w:color w:val="63666A" w:themeColor="text1"/>
      </w:rPr>
    </w:lvl>
    <w:lvl w:ilvl="4">
      <w:start w:val="1"/>
      <w:numFmt w:val="none"/>
      <w:suff w:val="nothing"/>
      <w:lvlText w:val=""/>
      <w:lvlJc w:val="left"/>
      <w:pPr>
        <w:ind w:left="284" w:firstLine="0"/>
      </w:pPr>
      <w:rPr>
        <w:rFonts w:hint="default"/>
      </w:rPr>
    </w:lvl>
    <w:lvl w:ilvl="5">
      <w:start w:val="1"/>
      <w:numFmt w:val="none"/>
      <w:suff w:val="nothing"/>
      <w:lvlText w:val=""/>
      <w:lvlJc w:val="left"/>
      <w:pPr>
        <w:ind w:left="51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11" w15:restartNumberingAfterBreak="0">
    <w:nsid w:val="25944DFB"/>
    <w:multiLevelType w:val="hybridMultilevel"/>
    <w:tmpl w:val="A9640E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8145412"/>
    <w:multiLevelType w:val="hybridMultilevel"/>
    <w:tmpl w:val="1AE0465A"/>
    <w:lvl w:ilvl="0" w:tplc="08090001">
      <w:start w:val="1"/>
      <w:numFmt w:val="bullet"/>
      <w:lvlText w:val=""/>
      <w:lvlJc w:val="left"/>
      <w:pPr>
        <w:ind w:left="787" w:hanging="360"/>
      </w:pPr>
      <w:rPr>
        <w:rFonts w:hint="default" w:ascii="Symbol" w:hAnsi="Symbol"/>
      </w:rPr>
    </w:lvl>
    <w:lvl w:ilvl="1" w:tplc="08090003" w:tentative="1">
      <w:start w:val="1"/>
      <w:numFmt w:val="bullet"/>
      <w:lvlText w:val="o"/>
      <w:lvlJc w:val="left"/>
      <w:pPr>
        <w:ind w:left="1507" w:hanging="360"/>
      </w:pPr>
      <w:rPr>
        <w:rFonts w:hint="default" w:ascii="Courier New" w:hAnsi="Courier New" w:cs="Courier New"/>
      </w:rPr>
    </w:lvl>
    <w:lvl w:ilvl="2" w:tplc="08090005" w:tentative="1">
      <w:start w:val="1"/>
      <w:numFmt w:val="bullet"/>
      <w:lvlText w:val=""/>
      <w:lvlJc w:val="left"/>
      <w:pPr>
        <w:ind w:left="2227" w:hanging="360"/>
      </w:pPr>
      <w:rPr>
        <w:rFonts w:hint="default" w:ascii="Wingdings" w:hAnsi="Wingdings"/>
      </w:rPr>
    </w:lvl>
    <w:lvl w:ilvl="3" w:tplc="08090001" w:tentative="1">
      <w:start w:val="1"/>
      <w:numFmt w:val="bullet"/>
      <w:lvlText w:val=""/>
      <w:lvlJc w:val="left"/>
      <w:pPr>
        <w:ind w:left="2947" w:hanging="360"/>
      </w:pPr>
      <w:rPr>
        <w:rFonts w:hint="default" w:ascii="Symbol" w:hAnsi="Symbol"/>
      </w:rPr>
    </w:lvl>
    <w:lvl w:ilvl="4" w:tplc="08090003" w:tentative="1">
      <w:start w:val="1"/>
      <w:numFmt w:val="bullet"/>
      <w:lvlText w:val="o"/>
      <w:lvlJc w:val="left"/>
      <w:pPr>
        <w:ind w:left="3667" w:hanging="360"/>
      </w:pPr>
      <w:rPr>
        <w:rFonts w:hint="default" w:ascii="Courier New" w:hAnsi="Courier New" w:cs="Courier New"/>
      </w:rPr>
    </w:lvl>
    <w:lvl w:ilvl="5" w:tplc="08090005" w:tentative="1">
      <w:start w:val="1"/>
      <w:numFmt w:val="bullet"/>
      <w:lvlText w:val=""/>
      <w:lvlJc w:val="left"/>
      <w:pPr>
        <w:ind w:left="4387" w:hanging="360"/>
      </w:pPr>
      <w:rPr>
        <w:rFonts w:hint="default" w:ascii="Wingdings" w:hAnsi="Wingdings"/>
      </w:rPr>
    </w:lvl>
    <w:lvl w:ilvl="6" w:tplc="08090001" w:tentative="1">
      <w:start w:val="1"/>
      <w:numFmt w:val="bullet"/>
      <w:lvlText w:val=""/>
      <w:lvlJc w:val="left"/>
      <w:pPr>
        <w:ind w:left="5107" w:hanging="360"/>
      </w:pPr>
      <w:rPr>
        <w:rFonts w:hint="default" w:ascii="Symbol" w:hAnsi="Symbol"/>
      </w:rPr>
    </w:lvl>
    <w:lvl w:ilvl="7" w:tplc="08090003" w:tentative="1">
      <w:start w:val="1"/>
      <w:numFmt w:val="bullet"/>
      <w:lvlText w:val="o"/>
      <w:lvlJc w:val="left"/>
      <w:pPr>
        <w:ind w:left="5827" w:hanging="360"/>
      </w:pPr>
      <w:rPr>
        <w:rFonts w:hint="default" w:ascii="Courier New" w:hAnsi="Courier New" w:cs="Courier New"/>
      </w:rPr>
    </w:lvl>
    <w:lvl w:ilvl="8" w:tplc="08090005" w:tentative="1">
      <w:start w:val="1"/>
      <w:numFmt w:val="bullet"/>
      <w:lvlText w:val=""/>
      <w:lvlJc w:val="left"/>
      <w:pPr>
        <w:ind w:left="6547" w:hanging="360"/>
      </w:pPr>
      <w:rPr>
        <w:rFonts w:hint="default" w:ascii="Wingdings" w:hAnsi="Wingdings"/>
      </w:rPr>
    </w:lvl>
  </w:abstractNum>
  <w:abstractNum w:abstractNumId="13" w15:restartNumberingAfterBreak="0">
    <w:nsid w:val="2A720A8A"/>
    <w:multiLevelType w:val="hybridMultilevel"/>
    <w:tmpl w:val="036802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BE77DF0"/>
    <w:multiLevelType w:val="hybridMultilevel"/>
    <w:tmpl w:val="BA26E5C4"/>
    <w:lvl w:ilvl="0" w:tplc="37E0E4CA">
      <w:start w:val="1"/>
      <w:numFmt w:val="decimal"/>
      <w:lvlText w:val="%1."/>
      <w:lvlJc w:val="left"/>
      <w:pPr>
        <w:ind w:left="720" w:hanging="360"/>
      </w:pPr>
      <w:rPr>
        <w:b w:val="0"/>
        <w:bCs w:val="0"/>
        <w:color w:val="63666A"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F051F1"/>
    <w:multiLevelType w:val="hybridMultilevel"/>
    <w:tmpl w:val="BB16D5D4"/>
    <w:lvl w:ilvl="0" w:tplc="08090011">
      <w:start w:val="1"/>
      <w:numFmt w:val="decimal"/>
      <w:lvlText w:val="%1)"/>
      <w:lvlJc w:val="left"/>
      <w:pPr>
        <w:ind w:left="643"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CC94BAD"/>
    <w:multiLevelType w:val="multilevel"/>
    <w:tmpl w:val="80F84BCE"/>
    <w:styleLink w:val="NumbLstMain"/>
    <w:lvl w:ilvl="0">
      <w:start w:val="1"/>
      <w:numFmt w:val="decimal"/>
      <w:pStyle w:val="Heading1Num"/>
      <w:lvlText w:val="%1."/>
      <w:lvlJc w:val="left"/>
      <w:pPr>
        <w:tabs>
          <w:tab w:val="num" w:pos="794"/>
        </w:tabs>
        <w:ind w:left="680" w:hanging="680"/>
      </w:pPr>
      <w:rPr>
        <w:rFonts w:hint="default"/>
      </w:rPr>
    </w:lvl>
    <w:lvl w:ilvl="1">
      <w:start w:val="1"/>
      <w:numFmt w:val="decimal"/>
      <w:pStyle w:val="Heading2Num"/>
      <w:lvlText w:val="%1.%2"/>
      <w:lvlJc w:val="left"/>
      <w:pPr>
        <w:tabs>
          <w:tab w:val="num" w:pos="794"/>
        </w:tabs>
        <w:ind w:left="680" w:hanging="680"/>
      </w:pPr>
      <w:rPr>
        <w:rFonts w:hint="default"/>
      </w:rPr>
    </w:lvl>
    <w:lvl w:ilvl="2">
      <w:start w:val="1"/>
      <w:numFmt w:val="decimal"/>
      <w:lvlText w:val="%1.%2.%3"/>
      <w:lvlJc w:val="left"/>
      <w:pPr>
        <w:tabs>
          <w:tab w:val="num" w:pos="794"/>
        </w:tabs>
        <w:ind w:left="680" w:hanging="680"/>
      </w:pPr>
      <w:rPr>
        <w:rFonts w:hint="default"/>
      </w:rPr>
    </w:lvl>
    <w:lvl w:ilvl="3">
      <w:start w:val="1"/>
      <w:numFmt w:val="none"/>
      <w:lvlText w:val=""/>
      <w:lvlJc w:val="left"/>
      <w:pPr>
        <w:tabs>
          <w:tab w:val="num" w:pos="340"/>
        </w:tabs>
        <w:ind w:left="340" w:firstLine="0"/>
      </w:pPr>
      <w:rPr>
        <w:rFonts w:hint="default"/>
      </w:rPr>
    </w:lvl>
    <w:lvl w:ilvl="4">
      <w:start w:val="1"/>
      <w:numFmt w:val="none"/>
      <w:lvlText w:val=""/>
      <w:lvlJc w:val="left"/>
      <w:pPr>
        <w:tabs>
          <w:tab w:val="num" w:pos="680"/>
        </w:tabs>
        <w:ind w:left="340" w:firstLine="0"/>
      </w:pPr>
      <w:rPr>
        <w:rFonts w:hint="default"/>
      </w:rPr>
    </w:lvl>
    <w:lvl w:ilvl="5">
      <w:start w:val="1"/>
      <w:numFmt w:val="none"/>
      <w:lvlText w:val=""/>
      <w:lvlJc w:val="left"/>
      <w:pPr>
        <w:ind w:left="340" w:firstLine="0"/>
      </w:pPr>
      <w:rPr>
        <w:rFonts w:hint="default"/>
      </w:rPr>
    </w:lvl>
    <w:lvl w:ilvl="6">
      <w:start w:val="1"/>
      <w:numFmt w:val="none"/>
      <w:lvlText w:val=""/>
      <w:lvlJc w:val="left"/>
      <w:pPr>
        <w:ind w:left="340" w:firstLine="0"/>
      </w:pPr>
      <w:rPr>
        <w:rFonts w:hint="default"/>
      </w:rPr>
    </w:lvl>
    <w:lvl w:ilvl="7">
      <w:start w:val="1"/>
      <w:numFmt w:val="none"/>
      <w:lvlText w:val=""/>
      <w:lvlJc w:val="left"/>
      <w:pPr>
        <w:ind w:left="340" w:firstLine="0"/>
      </w:pPr>
      <w:rPr>
        <w:rFonts w:hint="default"/>
      </w:rPr>
    </w:lvl>
    <w:lvl w:ilvl="8">
      <w:start w:val="1"/>
      <w:numFmt w:val="none"/>
      <w:lvlText w:val=""/>
      <w:lvlJc w:val="left"/>
      <w:pPr>
        <w:ind w:left="340" w:firstLine="0"/>
      </w:pPr>
      <w:rPr>
        <w:rFonts w:hint="default"/>
      </w:rPr>
    </w:lvl>
  </w:abstractNum>
  <w:abstractNum w:abstractNumId="17" w15:restartNumberingAfterBreak="0">
    <w:nsid w:val="30F449BF"/>
    <w:multiLevelType w:val="hybridMultilevel"/>
    <w:tmpl w:val="E6E69E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A522335"/>
    <w:multiLevelType w:val="multilevel"/>
    <w:tmpl w:val="0540B7A6"/>
    <w:styleLink w:val="NumbLstBullet"/>
    <w:lvl w:ilvl="0">
      <w:start w:val="1"/>
      <w:numFmt w:val="bullet"/>
      <w:pStyle w:val="Bullet1"/>
      <w:lvlText w:val=""/>
      <w:lvlJc w:val="left"/>
      <w:pPr>
        <w:tabs>
          <w:tab w:val="num" w:pos="340"/>
        </w:tabs>
        <w:ind w:left="340" w:hanging="340"/>
      </w:pPr>
      <w:rPr>
        <w:rFonts w:hint="default" w:ascii="Symbol" w:hAnsi="Symbol"/>
        <w:color w:val="63666A" w:themeColor="text1"/>
      </w:rPr>
    </w:lvl>
    <w:lvl w:ilvl="1">
      <w:start w:val="1"/>
      <w:numFmt w:val="bullet"/>
      <w:pStyle w:val="Bullet2"/>
      <w:lvlText w:val="–"/>
      <w:lvlJc w:val="left"/>
      <w:pPr>
        <w:tabs>
          <w:tab w:val="num" w:pos="680"/>
        </w:tabs>
        <w:ind w:left="680" w:hanging="340"/>
      </w:pPr>
      <w:rPr>
        <w:rFonts w:hint="default" w:ascii="Calibri" w:hAnsi="Calibri"/>
        <w:color w:val="63666A" w:themeColor="text1"/>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9" w15:restartNumberingAfterBreak="0">
    <w:nsid w:val="3B0B48E4"/>
    <w:multiLevelType w:val="hybridMultilevel"/>
    <w:tmpl w:val="0A7A32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B736F97"/>
    <w:multiLevelType w:val="hybridMultilevel"/>
    <w:tmpl w:val="82B02E38"/>
    <w:lvl w:ilvl="0" w:tplc="7C0AFBEC">
      <w:start w:val="1"/>
      <w:numFmt w:val="bullet"/>
      <w:lvlText w:val=""/>
      <w:lvlJc w:val="left"/>
      <w:pPr>
        <w:ind w:left="1080" w:hanging="360"/>
      </w:pPr>
      <w:rPr>
        <w:rFonts w:ascii="Symbol" w:hAnsi="Symbol"/>
      </w:rPr>
    </w:lvl>
    <w:lvl w:ilvl="1" w:tplc="52AC0CB6">
      <w:start w:val="1"/>
      <w:numFmt w:val="bullet"/>
      <w:lvlText w:val=""/>
      <w:lvlJc w:val="left"/>
      <w:pPr>
        <w:ind w:left="1080" w:hanging="360"/>
      </w:pPr>
      <w:rPr>
        <w:rFonts w:ascii="Symbol" w:hAnsi="Symbol"/>
      </w:rPr>
    </w:lvl>
    <w:lvl w:ilvl="2" w:tplc="E0B2AD40">
      <w:start w:val="1"/>
      <w:numFmt w:val="bullet"/>
      <w:lvlText w:val=""/>
      <w:lvlJc w:val="left"/>
      <w:pPr>
        <w:ind w:left="1080" w:hanging="360"/>
      </w:pPr>
      <w:rPr>
        <w:rFonts w:ascii="Symbol" w:hAnsi="Symbol"/>
      </w:rPr>
    </w:lvl>
    <w:lvl w:ilvl="3" w:tplc="23F84E84">
      <w:start w:val="1"/>
      <w:numFmt w:val="bullet"/>
      <w:lvlText w:val=""/>
      <w:lvlJc w:val="left"/>
      <w:pPr>
        <w:ind w:left="1080" w:hanging="360"/>
      </w:pPr>
      <w:rPr>
        <w:rFonts w:ascii="Symbol" w:hAnsi="Symbol"/>
      </w:rPr>
    </w:lvl>
    <w:lvl w:ilvl="4" w:tplc="94783074">
      <w:start w:val="1"/>
      <w:numFmt w:val="bullet"/>
      <w:lvlText w:val=""/>
      <w:lvlJc w:val="left"/>
      <w:pPr>
        <w:ind w:left="1080" w:hanging="360"/>
      </w:pPr>
      <w:rPr>
        <w:rFonts w:ascii="Symbol" w:hAnsi="Symbol"/>
      </w:rPr>
    </w:lvl>
    <w:lvl w:ilvl="5" w:tplc="51DCDDD6">
      <w:start w:val="1"/>
      <w:numFmt w:val="bullet"/>
      <w:lvlText w:val=""/>
      <w:lvlJc w:val="left"/>
      <w:pPr>
        <w:ind w:left="1080" w:hanging="360"/>
      </w:pPr>
      <w:rPr>
        <w:rFonts w:ascii="Symbol" w:hAnsi="Symbol"/>
      </w:rPr>
    </w:lvl>
    <w:lvl w:ilvl="6" w:tplc="F506920E">
      <w:start w:val="1"/>
      <w:numFmt w:val="bullet"/>
      <w:lvlText w:val=""/>
      <w:lvlJc w:val="left"/>
      <w:pPr>
        <w:ind w:left="1080" w:hanging="360"/>
      </w:pPr>
      <w:rPr>
        <w:rFonts w:ascii="Symbol" w:hAnsi="Symbol"/>
      </w:rPr>
    </w:lvl>
    <w:lvl w:ilvl="7" w:tplc="CFF6925C">
      <w:start w:val="1"/>
      <w:numFmt w:val="bullet"/>
      <w:lvlText w:val=""/>
      <w:lvlJc w:val="left"/>
      <w:pPr>
        <w:ind w:left="1080" w:hanging="360"/>
      </w:pPr>
      <w:rPr>
        <w:rFonts w:ascii="Symbol" w:hAnsi="Symbol"/>
      </w:rPr>
    </w:lvl>
    <w:lvl w:ilvl="8" w:tplc="377623EE">
      <w:start w:val="1"/>
      <w:numFmt w:val="bullet"/>
      <w:lvlText w:val=""/>
      <w:lvlJc w:val="left"/>
      <w:pPr>
        <w:ind w:left="1080" w:hanging="360"/>
      </w:pPr>
      <w:rPr>
        <w:rFonts w:ascii="Symbol" w:hAnsi="Symbol"/>
      </w:rPr>
    </w:lvl>
  </w:abstractNum>
  <w:abstractNum w:abstractNumId="21" w15:restartNumberingAfterBreak="0">
    <w:nsid w:val="3F0B430E"/>
    <w:multiLevelType w:val="hybridMultilevel"/>
    <w:tmpl w:val="538804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6A27192"/>
    <w:multiLevelType w:val="multilevel"/>
    <w:tmpl w:val="80F84BCE"/>
    <w:numStyleLink w:val="NumbLstMain"/>
  </w:abstractNum>
  <w:abstractNum w:abstractNumId="23" w15:restartNumberingAfterBreak="0">
    <w:nsid w:val="4CA2368F"/>
    <w:multiLevelType w:val="hybridMultilevel"/>
    <w:tmpl w:val="9AF42F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0575140"/>
    <w:multiLevelType w:val="hybridMultilevel"/>
    <w:tmpl w:val="9296028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5BB1C81"/>
    <w:multiLevelType w:val="hybridMultilevel"/>
    <w:tmpl w:val="5F36FC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76D2AFD"/>
    <w:multiLevelType w:val="multilevel"/>
    <w:tmpl w:val="786417C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D789BE2"/>
    <w:multiLevelType w:val="hybridMultilevel"/>
    <w:tmpl w:val="FFFFFFFF"/>
    <w:lvl w:ilvl="0" w:tplc="995C0B1A">
      <w:start w:val="1"/>
      <w:numFmt w:val="bullet"/>
      <w:lvlText w:val="·"/>
      <w:lvlJc w:val="left"/>
      <w:pPr>
        <w:ind w:left="720" w:hanging="360"/>
      </w:pPr>
      <w:rPr>
        <w:rFonts w:hint="default" w:ascii="Symbol" w:hAnsi="Symbol"/>
      </w:rPr>
    </w:lvl>
    <w:lvl w:ilvl="1" w:tplc="3F9CA980">
      <w:start w:val="1"/>
      <w:numFmt w:val="bullet"/>
      <w:lvlText w:val="o"/>
      <w:lvlJc w:val="left"/>
      <w:pPr>
        <w:ind w:left="1440" w:hanging="360"/>
      </w:pPr>
      <w:rPr>
        <w:rFonts w:hint="default" w:ascii="Courier New" w:hAnsi="Courier New"/>
      </w:rPr>
    </w:lvl>
    <w:lvl w:ilvl="2" w:tplc="19924F50">
      <w:start w:val="1"/>
      <w:numFmt w:val="bullet"/>
      <w:lvlText w:val=""/>
      <w:lvlJc w:val="left"/>
      <w:pPr>
        <w:ind w:left="2160" w:hanging="360"/>
      </w:pPr>
      <w:rPr>
        <w:rFonts w:hint="default" w:ascii="Wingdings" w:hAnsi="Wingdings"/>
      </w:rPr>
    </w:lvl>
    <w:lvl w:ilvl="3" w:tplc="2BDC227E">
      <w:start w:val="1"/>
      <w:numFmt w:val="bullet"/>
      <w:lvlText w:val=""/>
      <w:lvlJc w:val="left"/>
      <w:pPr>
        <w:ind w:left="2880" w:hanging="360"/>
      </w:pPr>
      <w:rPr>
        <w:rFonts w:hint="default" w:ascii="Symbol" w:hAnsi="Symbol"/>
      </w:rPr>
    </w:lvl>
    <w:lvl w:ilvl="4" w:tplc="820EDE58">
      <w:start w:val="1"/>
      <w:numFmt w:val="bullet"/>
      <w:lvlText w:val="o"/>
      <w:lvlJc w:val="left"/>
      <w:pPr>
        <w:ind w:left="3600" w:hanging="360"/>
      </w:pPr>
      <w:rPr>
        <w:rFonts w:hint="default" w:ascii="Courier New" w:hAnsi="Courier New"/>
      </w:rPr>
    </w:lvl>
    <w:lvl w:ilvl="5" w:tplc="5B8A17C4">
      <w:start w:val="1"/>
      <w:numFmt w:val="bullet"/>
      <w:lvlText w:val=""/>
      <w:lvlJc w:val="left"/>
      <w:pPr>
        <w:ind w:left="4320" w:hanging="360"/>
      </w:pPr>
      <w:rPr>
        <w:rFonts w:hint="default" w:ascii="Wingdings" w:hAnsi="Wingdings"/>
      </w:rPr>
    </w:lvl>
    <w:lvl w:ilvl="6" w:tplc="1DBE51F2">
      <w:start w:val="1"/>
      <w:numFmt w:val="bullet"/>
      <w:lvlText w:val=""/>
      <w:lvlJc w:val="left"/>
      <w:pPr>
        <w:ind w:left="5040" w:hanging="360"/>
      </w:pPr>
      <w:rPr>
        <w:rFonts w:hint="default" w:ascii="Symbol" w:hAnsi="Symbol"/>
      </w:rPr>
    </w:lvl>
    <w:lvl w:ilvl="7" w:tplc="21F2CD22">
      <w:start w:val="1"/>
      <w:numFmt w:val="bullet"/>
      <w:lvlText w:val="o"/>
      <w:lvlJc w:val="left"/>
      <w:pPr>
        <w:ind w:left="5760" w:hanging="360"/>
      </w:pPr>
      <w:rPr>
        <w:rFonts w:hint="default" w:ascii="Courier New" w:hAnsi="Courier New"/>
      </w:rPr>
    </w:lvl>
    <w:lvl w:ilvl="8" w:tplc="3064D0E6">
      <w:start w:val="1"/>
      <w:numFmt w:val="bullet"/>
      <w:lvlText w:val=""/>
      <w:lvlJc w:val="left"/>
      <w:pPr>
        <w:ind w:left="6480" w:hanging="360"/>
      </w:pPr>
      <w:rPr>
        <w:rFonts w:hint="default" w:ascii="Wingdings" w:hAnsi="Wingdings"/>
      </w:rPr>
    </w:lvl>
  </w:abstractNum>
  <w:abstractNum w:abstractNumId="28" w15:restartNumberingAfterBreak="0">
    <w:nsid w:val="676A232A"/>
    <w:multiLevelType w:val="hybridMultilevel"/>
    <w:tmpl w:val="833AD4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FD05E91"/>
    <w:multiLevelType w:val="multilevel"/>
    <w:tmpl w:val="786417C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0F11E0A"/>
    <w:multiLevelType w:val="hybridMultilevel"/>
    <w:tmpl w:val="3F7E2898"/>
    <w:lvl w:ilvl="0" w:tplc="08090001">
      <w:start w:val="1"/>
      <w:numFmt w:val="bullet"/>
      <w:lvlText w:val=""/>
      <w:lvlJc w:val="left"/>
      <w:pPr>
        <w:ind w:left="720" w:hanging="360"/>
      </w:pPr>
      <w:rPr>
        <w:rFonts w:hint="default" w:ascii="Symbol" w:hAnsi="Symbol"/>
      </w:rPr>
    </w:lvl>
    <w:lvl w:ilvl="1" w:tplc="962A528A">
      <w:numFmt w:val="bullet"/>
      <w:lvlText w:val="•"/>
      <w:lvlJc w:val="left"/>
      <w:pPr>
        <w:ind w:left="1800" w:hanging="720"/>
      </w:pPr>
      <w:rPr>
        <w:rFonts w:hint="default" w:ascii="Arial" w:hAnsi="Arial" w:cs="Arial" w:eastAsiaTheme="min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10F1C96"/>
    <w:multiLevelType w:val="hybridMultilevel"/>
    <w:tmpl w:val="4536BD70"/>
    <w:lvl w:ilvl="0" w:tplc="FC1A2CD8">
      <w:start w:val="5"/>
      <w:numFmt w:val="decimal"/>
      <w:lvlText w:val="%1)"/>
      <w:lvlJc w:val="left"/>
      <w:pPr>
        <w:ind w:left="643"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418157E"/>
    <w:multiLevelType w:val="hybridMultilevel"/>
    <w:tmpl w:val="6E46E4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BC63D57"/>
    <w:multiLevelType w:val="hybridMultilevel"/>
    <w:tmpl w:val="C7B631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C2316A8"/>
    <w:multiLevelType w:val="hybridMultilevel"/>
    <w:tmpl w:val="BE4CE6E4"/>
    <w:lvl w:ilvl="0" w:tplc="08090001">
      <w:start w:val="1"/>
      <w:numFmt w:val="bullet"/>
      <w:lvlText w:val=""/>
      <w:lvlJc w:val="left"/>
      <w:pPr>
        <w:ind w:left="792" w:hanging="360"/>
      </w:pPr>
      <w:rPr>
        <w:rFonts w:hint="default" w:ascii="Symbol" w:hAnsi="Symbol"/>
      </w:rPr>
    </w:lvl>
    <w:lvl w:ilvl="1" w:tplc="08090003">
      <w:start w:val="1"/>
      <w:numFmt w:val="bullet"/>
      <w:lvlText w:val="o"/>
      <w:lvlJc w:val="left"/>
      <w:pPr>
        <w:ind w:left="1512" w:hanging="360"/>
      </w:pPr>
      <w:rPr>
        <w:rFonts w:hint="default" w:ascii="Courier New" w:hAnsi="Courier New" w:cs="Courier New"/>
      </w:rPr>
    </w:lvl>
    <w:lvl w:ilvl="2" w:tplc="08090005" w:tentative="1">
      <w:start w:val="1"/>
      <w:numFmt w:val="bullet"/>
      <w:lvlText w:val=""/>
      <w:lvlJc w:val="left"/>
      <w:pPr>
        <w:ind w:left="2232" w:hanging="360"/>
      </w:pPr>
      <w:rPr>
        <w:rFonts w:hint="default" w:ascii="Wingdings" w:hAnsi="Wingdings"/>
      </w:rPr>
    </w:lvl>
    <w:lvl w:ilvl="3" w:tplc="08090001" w:tentative="1">
      <w:start w:val="1"/>
      <w:numFmt w:val="bullet"/>
      <w:lvlText w:val=""/>
      <w:lvlJc w:val="left"/>
      <w:pPr>
        <w:ind w:left="2952" w:hanging="360"/>
      </w:pPr>
      <w:rPr>
        <w:rFonts w:hint="default" w:ascii="Symbol" w:hAnsi="Symbol"/>
      </w:rPr>
    </w:lvl>
    <w:lvl w:ilvl="4" w:tplc="08090003" w:tentative="1">
      <w:start w:val="1"/>
      <w:numFmt w:val="bullet"/>
      <w:lvlText w:val="o"/>
      <w:lvlJc w:val="left"/>
      <w:pPr>
        <w:ind w:left="3672" w:hanging="360"/>
      </w:pPr>
      <w:rPr>
        <w:rFonts w:hint="default" w:ascii="Courier New" w:hAnsi="Courier New" w:cs="Courier New"/>
      </w:rPr>
    </w:lvl>
    <w:lvl w:ilvl="5" w:tplc="08090005" w:tentative="1">
      <w:start w:val="1"/>
      <w:numFmt w:val="bullet"/>
      <w:lvlText w:val=""/>
      <w:lvlJc w:val="left"/>
      <w:pPr>
        <w:ind w:left="4392" w:hanging="360"/>
      </w:pPr>
      <w:rPr>
        <w:rFonts w:hint="default" w:ascii="Wingdings" w:hAnsi="Wingdings"/>
      </w:rPr>
    </w:lvl>
    <w:lvl w:ilvl="6" w:tplc="08090001" w:tentative="1">
      <w:start w:val="1"/>
      <w:numFmt w:val="bullet"/>
      <w:lvlText w:val=""/>
      <w:lvlJc w:val="left"/>
      <w:pPr>
        <w:ind w:left="5112" w:hanging="360"/>
      </w:pPr>
      <w:rPr>
        <w:rFonts w:hint="default" w:ascii="Symbol" w:hAnsi="Symbol"/>
      </w:rPr>
    </w:lvl>
    <w:lvl w:ilvl="7" w:tplc="08090003" w:tentative="1">
      <w:start w:val="1"/>
      <w:numFmt w:val="bullet"/>
      <w:lvlText w:val="o"/>
      <w:lvlJc w:val="left"/>
      <w:pPr>
        <w:ind w:left="5832" w:hanging="360"/>
      </w:pPr>
      <w:rPr>
        <w:rFonts w:hint="default" w:ascii="Courier New" w:hAnsi="Courier New" w:cs="Courier New"/>
      </w:rPr>
    </w:lvl>
    <w:lvl w:ilvl="8" w:tplc="08090005" w:tentative="1">
      <w:start w:val="1"/>
      <w:numFmt w:val="bullet"/>
      <w:lvlText w:val=""/>
      <w:lvlJc w:val="left"/>
      <w:pPr>
        <w:ind w:left="6552" w:hanging="360"/>
      </w:pPr>
      <w:rPr>
        <w:rFonts w:hint="default" w:ascii="Wingdings" w:hAnsi="Wingdings"/>
      </w:rPr>
    </w:lvl>
  </w:abstractNum>
  <w:abstractNum w:abstractNumId="35" w15:restartNumberingAfterBreak="0">
    <w:nsid w:val="7C965FEA"/>
    <w:multiLevelType w:val="multilevel"/>
    <w:tmpl w:val="024A221E"/>
    <w:styleLink w:val="NumbLstNumblist"/>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none"/>
      <w:lvlText w:val=""/>
      <w:lvlJc w:val="left"/>
      <w:pPr>
        <w:ind w:left="680" w:hanging="340"/>
      </w:pPr>
      <w:rPr>
        <w:rFonts w:hint="default"/>
      </w:rPr>
    </w:lvl>
    <w:lvl w:ilvl="3">
      <w:start w:val="1"/>
      <w:numFmt w:val="none"/>
      <w:lvlText w:val=""/>
      <w:lvlJc w:val="left"/>
      <w:pPr>
        <w:ind w:left="680" w:hanging="340"/>
      </w:pPr>
      <w:rPr>
        <w:rFonts w:hint="default"/>
      </w:rPr>
    </w:lvl>
    <w:lvl w:ilvl="4">
      <w:start w:val="1"/>
      <w:numFmt w:val="none"/>
      <w:lvlText w:val=""/>
      <w:lvlJc w:val="left"/>
      <w:pPr>
        <w:ind w:left="680" w:hanging="340"/>
      </w:pPr>
      <w:rPr>
        <w:rFonts w:hint="default"/>
      </w:rPr>
    </w:lvl>
    <w:lvl w:ilvl="5">
      <w:start w:val="1"/>
      <w:numFmt w:val="none"/>
      <w:lvlText w:val=""/>
      <w:lvlJc w:val="left"/>
      <w:pPr>
        <w:ind w:left="680" w:hanging="340"/>
      </w:pPr>
      <w:rPr>
        <w:rFonts w:hint="default"/>
      </w:rPr>
    </w:lvl>
    <w:lvl w:ilvl="6">
      <w:start w:val="1"/>
      <w:numFmt w:val="none"/>
      <w:lvlText w:val=""/>
      <w:lvlJc w:val="left"/>
      <w:pPr>
        <w:ind w:left="680" w:hanging="340"/>
      </w:pPr>
      <w:rPr>
        <w:rFonts w:hint="default"/>
      </w:rPr>
    </w:lvl>
    <w:lvl w:ilvl="7">
      <w:start w:val="1"/>
      <w:numFmt w:val="none"/>
      <w:lvlText w:val=""/>
      <w:lvlJc w:val="left"/>
      <w:pPr>
        <w:ind w:left="680" w:hanging="340"/>
      </w:pPr>
      <w:rPr>
        <w:rFonts w:hint="default"/>
      </w:rPr>
    </w:lvl>
    <w:lvl w:ilvl="8">
      <w:start w:val="1"/>
      <w:numFmt w:val="none"/>
      <w:lvlText w:val=""/>
      <w:lvlJc w:val="left"/>
      <w:pPr>
        <w:ind w:left="680" w:hanging="340"/>
      </w:pPr>
      <w:rPr>
        <w:rFonts w:hint="default"/>
      </w:rPr>
    </w:lvl>
  </w:abstractNum>
  <w:num w:numId="1" w16cid:durableId="1735204173">
    <w:abstractNumId w:val="27"/>
  </w:num>
  <w:num w:numId="2" w16cid:durableId="843713108">
    <w:abstractNumId w:val="18"/>
  </w:num>
  <w:num w:numId="3" w16cid:durableId="937952047">
    <w:abstractNumId w:val="16"/>
  </w:num>
  <w:num w:numId="4" w16cid:durableId="1888444774">
    <w:abstractNumId w:val="0"/>
  </w:num>
  <w:num w:numId="5" w16cid:durableId="1375500632">
    <w:abstractNumId w:val="10"/>
  </w:num>
  <w:num w:numId="6" w16cid:durableId="968828083">
    <w:abstractNumId w:val="35"/>
  </w:num>
  <w:num w:numId="7" w16cid:durableId="1012028972">
    <w:abstractNumId w:val="22"/>
    <w:lvlOverride w:ilvl="0">
      <w:lvl w:ilvl="0">
        <w:start w:val="3"/>
        <w:numFmt w:val="decimal"/>
        <w:pStyle w:val="Heading1Num"/>
        <w:lvlText w:val="%1."/>
        <w:lvlJc w:val="left"/>
        <w:pPr>
          <w:tabs>
            <w:tab w:val="num" w:pos="794"/>
          </w:tabs>
          <w:ind w:left="680" w:hanging="680"/>
        </w:pPr>
        <w:rPr>
          <w:rFonts w:hint="default"/>
        </w:rPr>
      </w:lvl>
    </w:lvlOverride>
    <w:lvlOverride w:ilvl="1">
      <w:lvl w:ilvl="1">
        <w:start w:val="1"/>
        <w:numFmt w:val="decimal"/>
        <w:pStyle w:val="Heading2Num"/>
        <w:lvlText w:val="%1.%2"/>
        <w:lvlJc w:val="left"/>
        <w:pPr>
          <w:tabs>
            <w:tab w:val="num" w:pos="2920"/>
          </w:tabs>
          <w:ind w:left="2806" w:hanging="680"/>
        </w:pPr>
        <w:rPr>
          <w:rFonts w:hint="default"/>
        </w:rPr>
      </w:lvl>
    </w:lvlOverride>
    <w:lvlOverride w:ilvl="2">
      <w:lvl w:ilvl="2">
        <w:start w:val="1"/>
        <w:numFmt w:val="decimal"/>
        <w:lvlText w:val="%1.%2.%3"/>
        <w:lvlJc w:val="left"/>
        <w:pPr>
          <w:tabs>
            <w:tab w:val="num" w:pos="794"/>
          </w:tabs>
          <w:ind w:left="680" w:hanging="680"/>
        </w:pPr>
        <w:rPr>
          <w:rFonts w:hint="default"/>
        </w:rPr>
      </w:lvl>
    </w:lvlOverride>
    <w:lvlOverride w:ilvl="3">
      <w:lvl w:ilvl="3">
        <w:start w:val="1"/>
        <w:numFmt w:val="none"/>
        <w:lvlText w:val=""/>
        <w:lvlJc w:val="left"/>
        <w:pPr>
          <w:tabs>
            <w:tab w:val="num" w:pos="340"/>
          </w:tabs>
          <w:ind w:left="340" w:firstLine="0"/>
        </w:pPr>
        <w:rPr>
          <w:rFonts w:hint="default"/>
        </w:rPr>
      </w:lvl>
    </w:lvlOverride>
    <w:lvlOverride w:ilvl="4">
      <w:lvl w:ilvl="4">
        <w:start w:val="1"/>
        <w:numFmt w:val="none"/>
        <w:lvlText w:val=""/>
        <w:lvlJc w:val="left"/>
        <w:pPr>
          <w:tabs>
            <w:tab w:val="num" w:pos="680"/>
          </w:tabs>
          <w:ind w:left="340" w:firstLine="0"/>
        </w:pPr>
        <w:rPr>
          <w:rFonts w:hint="default"/>
        </w:rPr>
      </w:lvl>
    </w:lvlOverride>
    <w:lvlOverride w:ilvl="5">
      <w:lvl w:ilvl="5">
        <w:start w:val="1"/>
        <w:numFmt w:val="none"/>
        <w:lvlText w:val=""/>
        <w:lvlJc w:val="left"/>
        <w:pPr>
          <w:ind w:left="340" w:firstLine="0"/>
        </w:pPr>
        <w:rPr>
          <w:rFonts w:hint="default"/>
        </w:rPr>
      </w:lvl>
    </w:lvlOverride>
    <w:lvlOverride w:ilvl="6">
      <w:lvl w:ilvl="6">
        <w:start w:val="1"/>
        <w:numFmt w:val="none"/>
        <w:lvlText w:val=""/>
        <w:lvlJc w:val="left"/>
        <w:pPr>
          <w:ind w:left="340" w:firstLine="0"/>
        </w:pPr>
        <w:rPr>
          <w:rFonts w:hint="default"/>
        </w:rPr>
      </w:lvl>
    </w:lvlOverride>
    <w:lvlOverride w:ilvl="7">
      <w:lvl w:ilvl="7">
        <w:start w:val="1"/>
        <w:numFmt w:val="none"/>
        <w:lvlText w:val=""/>
        <w:lvlJc w:val="left"/>
        <w:pPr>
          <w:ind w:left="340" w:firstLine="0"/>
        </w:pPr>
        <w:rPr>
          <w:rFonts w:hint="default"/>
        </w:rPr>
      </w:lvl>
    </w:lvlOverride>
    <w:lvlOverride w:ilvl="8">
      <w:lvl w:ilvl="8">
        <w:start w:val="1"/>
        <w:numFmt w:val="none"/>
        <w:lvlText w:val=""/>
        <w:lvlJc w:val="left"/>
        <w:pPr>
          <w:ind w:left="340" w:firstLine="0"/>
        </w:pPr>
        <w:rPr>
          <w:rFonts w:hint="default"/>
        </w:rPr>
      </w:lvl>
    </w:lvlOverride>
  </w:num>
  <w:num w:numId="8" w16cid:durableId="642731317">
    <w:abstractNumId w:val="2"/>
  </w:num>
  <w:num w:numId="9" w16cid:durableId="335377120">
    <w:abstractNumId w:val="24"/>
  </w:num>
  <w:num w:numId="10" w16cid:durableId="2058701097">
    <w:abstractNumId w:val="30"/>
  </w:num>
  <w:num w:numId="11" w16cid:durableId="2124567348">
    <w:abstractNumId w:val="13"/>
  </w:num>
  <w:num w:numId="12" w16cid:durableId="1087385080">
    <w:abstractNumId w:val="25"/>
  </w:num>
  <w:num w:numId="13" w16cid:durableId="855383203">
    <w:abstractNumId w:val="32"/>
  </w:num>
  <w:num w:numId="14" w16cid:durableId="1135097019">
    <w:abstractNumId w:val="7"/>
  </w:num>
  <w:num w:numId="15" w16cid:durableId="625695307">
    <w:abstractNumId w:val="14"/>
  </w:num>
  <w:num w:numId="16" w16cid:durableId="1148278941">
    <w:abstractNumId w:val="26"/>
  </w:num>
  <w:num w:numId="17" w16cid:durableId="1148589551">
    <w:abstractNumId w:val="29"/>
  </w:num>
  <w:num w:numId="18" w16cid:durableId="1515413814">
    <w:abstractNumId w:val="17"/>
  </w:num>
  <w:num w:numId="19" w16cid:durableId="1638757863">
    <w:abstractNumId w:val="34"/>
  </w:num>
  <w:num w:numId="20" w16cid:durableId="1148858781">
    <w:abstractNumId w:val="8"/>
  </w:num>
  <w:num w:numId="21" w16cid:durableId="584918377">
    <w:abstractNumId w:val="28"/>
  </w:num>
  <w:num w:numId="22" w16cid:durableId="260452915">
    <w:abstractNumId w:val="5"/>
  </w:num>
  <w:num w:numId="23" w16cid:durableId="1575701609">
    <w:abstractNumId w:val="15"/>
  </w:num>
  <w:num w:numId="24" w16cid:durableId="1600674285">
    <w:abstractNumId w:val="31"/>
  </w:num>
  <w:num w:numId="25" w16cid:durableId="2041391101">
    <w:abstractNumId w:val="9"/>
  </w:num>
  <w:num w:numId="26" w16cid:durableId="1902986502">
    <w:abstractNumId w:val="20"/>
  </w:num>
  <w:num w:numId="27" w16cid:durableId="717247150">
    <w:abstractNumId w:val="6"/>
  </w:num>
  <w:num w:numId="28" w16cid:durableId="10568395">
    <w:abstractNumId w:val="12"/>
  </w:num>
  <w:num w:numId="29" w16cid:durableId="509217181">
    <w:abstractNumId w:val="4"/>
  </w:num>
  <w:num w:numId="30" w16cid:durableId="1037240613">
    <w:abstractNumId w:val="33"/>
  </w:num>
  <w:num w:numId="31" w16cid:durableId="1760174266">
    <w:abstractNumId w:val="19"/>
  </w:num>
  <w:num w:numId="32" w16cid:durableId="1729843764">
    <w:abstractNumId w:val="23"/>
  </w:num>
  <w:num w:numId="33" w16cid:durableId="36902535">
    <w:abstractNumId w:val="11"/>
  </w:num>
  <w:num w:numId="34" w16cid:durableId="2093815340">
    <w:abstractNumId w:val="21"/>
  </w:num>
  <w:num w:numId="35" w16cid:durableId="116991425">
    <w:abstractNumId w:val="3"/>
  </w:num>
  <w:num w:numId="36" w16cid:durableId="1393235201">
    <w:abstractNumId w:val="1"/>
  </w:num>
  <w:numIdMacAtCleanup w:val="3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ckPage" w:val="True"/>
    <w:docVar w:name="BackPageDisclaimer" w:val="Bids and Tenders"/>
    <w:docVar w:name="CurrentTemplateName" w:val="RSM Proposal v4.dotm"/>
    <w:docVar w:name="CurrentTemplateVersion" w:val="4.04"/>
    <w:docVar w:name="DocDate" w:val="16 December 2022"/>
    <w:docVar w:name="DocTemplateName" w:val="RSM Proposal v4.dotm"/>
    <w:docVar w:name="ExecutiveSummary" w:val="True"/>
    <w:docVar w:name="FooterDocNo" w:val="Document2"/>
    <w:docVar w:name="InitialTemplateName" w:val="RSM Proposal v4.dotm"/>
    <w:docVar w:name="InitialTemplateVersion" w:val="4.04"/>
    <w:docVar w:name="LegalStatementDate" w:val="21 January 2020"/>
    <w:docVar w:name="LegalStatementIniFileSection" w:val="RSMLongLegalStatement"/>
    <w:docVar w:name="LegalStatementVersion" w:val="1.0"/>
    <w:docVar w:name="TitlePage" w:val="True"/>
    <w:docVar w:name="TOCSection" w:val="True"/>
    <w:docVar w:name="TOCType" w:val="1"/>
  </w:docVars>
  <w:rsids>
    <w:rsidRoot w:val="000E28B9"/>
    <w:rsid w:val="000004C1"/>
    <w:rsid w:val="000005FD"/>
    <w:rsid w:val="000008E3"/>
    <w:rsid w:val="0000112E"/>
    <w:rsid w:val="0000153F"/>
    <w:rsid w:val="00001B35"/>
    <w:rsid w:val="00002C23"/>
    <w:rsid w:val="00002C65"/>
    <w:rsid w:val="00002D6B"/>
    <w:rsid w:val="00002D9F"/>
    <w:rsid w:val="0000321D"/>
    <w:rsid w:val="00003F5D"/>
    <w:rsid w:val="000047E6"/>
    <w:rsid w:val="00004BF4"/>
    <w:rsid w:val="000061E6"/>
    <w:rsid w:val="0000680B"/>
    <w:rsid w:val="00006E19"/>
    <w:rsid w:val="00007192"/>
    <w:rsid w:val="000074F7"/>
    <w:rsid w:val="00007515"/>
    <w:rsid w:val="00007C26"/>
    <w:rsid w:val="0001080D"/>
    <w:rsid w:val="00011212"/>
    <w:rsid w:val="00011536"/>
    <w:rsid w:val="000115EF"/>
    <w:rsid w:val="00011C6C"/>
    <w:rsid w:val="00011D03"/>
    <w:rsid w:val="0001227A"/>
    <w:rsid w:val="000123AA"/>
    <w:rsid w:val="00012560"/>
    <w:rsid w:val="00012992"/>
    <w:rsid w:val="00012A81"/>
    <w:rsid w:val="00012CB8"/>
    <w:rsid w:val="00012DA2"/>
    <w:rsid w:val="00012E73"/>
    <w:rsid w:val="000131C8"/>
    <w:rsid w:val="00013412"/>
    <w:rsid w:val="00014162"/>
    <w:rsid w:val="00014242"/>
    <w:rsid w:val="00014A4C"/>
    <w:rsid w:val="00014D58"/>
    <w:rsid w:val="00014E3C"/>
    <w:rsid w:val="00014F6F"/>
    <w:rsid w:val="000159E4"/>
    <w:rsid w:val="00015C69"/>
    <w:rsid w:val="00015F5C"/>
    <w:rsid w:val="000167BC"/>
    <w:rsid w:val="00016892"/>
    <w:rsid w:val="00017874"/>
    <w:rsid w:val="000203B7"/>
    <w:rsid w:val="0002093F"/>
    <w:rsid w:val="00020A63"/>
    <w:rsid w:val="00022267"/>
    <w:rsid w:val="000227BA"/>
    <w:rsid w:val="000229E6"/>
    <w:rsid w:val="00022DEA"/>
    <w:rsid w:val="000231FC"/>
    <w:rsid w:val="00023651"/>
    <w:rsid w:val="00023AFF"/>
    <w:rsid w:val="00023F02"/>
    <w:rsid w:val="000245F0"/>
    <w:rsid w:val="0002608C"/>
    <w:rsid w:val="00026691"/>
    <w:rsid w:val="00026909"/>
    <w:rsid w:val="00026FB1"/>
    <w:rsid w:val="00027071"/>
    <w:rsid w:val="00027211"/>
    <w:rsid w:val="0002724F"/>
    <w:rsid w:val="00027679"/>
    <w:rsid w:val="00027C57"/>
    <w:rsid w:val="00030AE1"/>
    <w:rsid w:val="00030B7A"/>
    <w:rsid w:val="00030FAD"/>
    <w:rsid w:val="00031DA1"/>
    <w:rsid w:val="0003219E"/>
    <w:rsid w:val="00032859"/>
    <w:rsid w:val="00032B86"/>
    <w:rsid w:val="00033944"/>
    <w:rsid w:val="000341F6"/>
    <w:rsid w:val="000356AB"/>
    <w:rsid w:val="00035813"/>
    <w:rsid w:val="00035A9B"/>
    <w:rsid w:val="00037F40"/>
    <w:rsid w:val="000403E9"/>
    <w:rsid w:val="00040440"/>
    <w:rsid w:val="00040B02"/>
    <w:rsid w:val="000415FE"/>
    <w:rsid w:val="000417CE"/>
    <w:rsid w:val="000421DE"/>
    <w:rsid w:val="00044122"/>
    <w:rsid w:val="0004427D"/>
    <w:rsid w:val="00045041"/>
    <w:rsid w:val="000456AC"/>
    <w:rsid w:val="00045A5B"/>
    <w:rsid w:val="00045C9C"/>
    <w:rsid w:val="00046A9C"/>
    <w:rsid w:val="00047255"/>
    <w:rsid w:val="0005086E"/>
    <w:rsid w:val="00050F57"/>
    <w:rsid w:val="00051835"/>
    <w:rsid w:val="0005214F"/>
    <w:rsid w:val="000522F4"/>
    <w:rsid w:val="000530F2"/>
    <w:rsid w:val="0005313A"/>
    <w:rsid w:val="00053AF8"/>
    <w:rsid w:val="00053DC7"/>
    <w:rsid w:val="000542E2"/>
    <w:rsid w:val="00054D11"/>
    <w:rsid w:val="00054D44"/>
    <w:rsid w:val="00054F71"/>
    <w:rsid w:val="00056206"/>
    <w:rsid w:val="0005640D"/>
    <w:rsid w:val="00057484"/>
    <w:rsid w:val="0005785B"/>
    <w:rsid w:val="00060218"/>
    <w:rsid w:val="00060338"/>
    <w:rsid w:val="000603AB"/>
    <w:rsid w:val="000605E2"/>
    <w:rsid w:val="000606C7"/>
    <w:rsid w:val="00060AE3"/>
    <w:rsid w:val="00060CD9"/>
    <w:rsid w:val="00061000"/>
    <w:rsid w:val="0006151D"/>
    <w:rsid w:val="000617DE"/>
    <w:rsid w:val="000618D0"/>
    <w:rsid w:val="0006286D"/>
    <w:rsid w:val="0006287B"/>
    <w:rsid w:val="000630D3"/>
    <w:rsid w:val="000636F5"/>
    <w:rsid w:val="000639E9"/>
    <w:rsid w:val="00063D15"/>
    <w:rsid w:val="00063E92"/>
    <w:rsid w:val="000641BB"/>
    <w:rsid w:val="00064595"/>
    <w:rsid w:val="00064758"/>
    <w:rsid w:val="000647F7"/>
    <w:rsid w:val="00065892"/>
    <w:rsid w:val="00065ACD"/>
    <w:rsid w:val="00065E68"/>
    <w:rsid w:val="00066DCA"/>
    <w:rsid w:val="00070226"/>
    <w:rsid w:val="00070731"/>
    <w:rsid w:val="00070CA3"/>
    <w:rsid w:val="00070E79"/>
    <w:rsid w:val="00071199"/>
    <w:rsid w:val="0007143C"/>
    <w:rsid w:val="000715D3"/>
    <w:rsid w:val="00071EDF"/>
    <w:rsid w:val="00072BCA"/>
    <w:rsid w:val="00073079"/>
    <w:rsid w:val="00073573"/>
    <w:rsid w:val="0007357C"/>
    <w:rsid w:val="00073AA2"/>
    <w:rsid w:val="00073EE8"/>
    <w:rsid w:val="00074459"/>
    <w:rsid w:val="00074AC1"/>
    <w:rsid w:val="00075AFE"/>
    <w:rsid w:val="00075E33"/>
    <w:rsid w:val="00075E55"/>
    <w:rsid w:val="0007668E"/>
    <w:rsid w:val="00076849"/>
    <w:rsid w:val="000768E3"/>
    <w:rsid w:val="00076A01"/>
    <w:rsid w:val="00076BB8"/>
    <w:rsid w:val="00076CAB"/>
    <w:rsid w:val="00077210"/>
    <w:rsid w:val="0007775D"/>
    <w:rsid w:val="000804A2"/>
    <w:rsid w:val="00083035"/>
    <w:rsid w:val="000838DA"/>
    <w:rsid w:val="0008406A"/>
    <w:rsid w:val="00084492"/>
    <w:rsid w:val="00084591"/>
    <w:rsid w:val="00084939"/>
    <w:rsid w:val="00085043"/>
    <w:rsid w:val="00085606"/>
    <w:rsid w:val="00085789"/>
    <w:rsid w:val="000863CE"/>
    <w:rsid w:val="000864B0"/>
    <w:rsid w:val="00086DA7"/>
    <w:rsid w:val="00086DC7"/>
    <w:rsid w:val="00090266"/>
    <w:rsid w:val="000904AB"/>
    <w:rsid w:val="00090A6C"/>
    <w:rsid w:val="0009152D"/>
    <w:rsid w:val="000917C4"/>
    <w:rsid w:val="0009195F"/>
    <w:rsid w:val="00091F41"/>
    <w:rsid w:val="000926C8"/>
    <w:rsid w:val="000927EF"/>
    <w:rsid w:val="00093183"/>
    <w:rsid w:val="00093E32"/>
    <w:rsid w:val="00094B6E"/>
    <w:rsid w:val="00095306"/>
    <w:rsid w:val="00095509"/>
    <w:rsid w:val="00095549"/>
    <w:rsid w:val="00095B10"/>
    <w:rsid w:val="00096CF1"/>
    <w:rsid w:val="00096ECB"/>
    <w:rsid w:val="000970EF"/>
    <w:rsid w:val="000A06F6"/>
    <w:rsid w:val="000A1568"/>
    <w:rsid w:val="000A16F4"/>
    <w:rsid w:val="000A1E05"/>
    <w:rsid w:val="000A1FD0"/>
    <w:rsid w:val="000A2AD2"/>
    <w:rsid w:val="000A2F7E"/>
    <w:rsid w:val="000A375E"/>
    <w:rsid w:val="000A41D7"/>
    <w:rsid w:val="000A4703"/>
    <w:rsid w:val="000A624F"/>
    <w:rsid w:val="000A65E1"/>
    <w:rsid w:val="000A6648"/>
    <w:rsid w:val="000A7E8C"/>
    <w:rsid w:val="000A7EB0"/>
    <w:rsid w:val="000B0870"/>
    <w:rsid w:val="000B0DFD"/>
    <w:rsid w:val="000B10C0"/>
    <w:rsid w:val="000B17EF"/>
    <w:rsid w:val="000B1E88"/>
    <w:rsid w:val="000B2401"/>
    <w:rsid w:val="000B2721"/>
    <w:rsid w:val="000B2D08"/>
    <w:rsid w:val="000B2D63"/>
    <w:rsid w:val="000B4428"/>
    <w:rsid w:val="000B465F"/>
    <w:rsid w:val="000B5AB9"/>
    <w:rsid w:val="000B6193"/>
    <w:rsid w:val="000B68B8"/>
    <w:rsid w:val="000B6CD4"/>
    <w:rsid w:val="000B7586"/>
    <w:rsid w:val="000C0837"/>
    <w:rsid w:val="000C153C"/>
    <w:rsid w:val="000C1DA2"/>
    <w:rsid w:val="000C2786"/>
    <w:rsid w:val="000C2EE3"/>
    <w:rsid w:val="000C3A21"/>
    <w:rsid w:val="000C40DC"/>
    <w:rsid w:val="000C4128"/>
    <w:rsid w:val="000C43E5"/>
    <w:rsid w:val="000C4739"/>
    <w:rsid w:val="000C5599"/>
    <w:rsid w:val="000C5675"/>
    <w:rsid w:val="000C5B54"/>
    <w:rsid w:val="000C610D"/>
    <w:rsid w:val="000C77C3"/>
    <w:rsid w:val="000C7946"/>
    <w:rsid w:val="000C7DBE"/>
    <w:rsid w:val="000D0D06"/>
    <w:rsid w:val="000D1244"/>
    <w:rsid w:val="000D1787"/>
    <w:rsid w:val="000D18FE"/>
    <w:rsid w:val="000D1BCB"/>
    <w:rsid w:val="000D1D7D"/>
    <w:rsid w:val="000D2251"/>
    <w:rsid w:val="000D2843"/>
    <w:rsid w:val="000D2A56"/>
    <w:rsid w:val="000D2AA3"/>
    <w:rsid w:val="000D2DF0"/>
    <w:rsid w:val="000D3D28"/>
    <w:rsid w:val="000D4F9B"/>
    <w:rsid w:val="000D5D71"/>
    <w:rsid w:val="000D695E"/>
    <w:rsid w:val="000D698F"/>
    <w:rsid w:val="000D711B"/>
    <w:rsid w:val="000D7219"/>
    <w:rsid w:val="000D76E5"/>
    <w:rsid w:val="000E08CB"/>
    <w:rsid w:val="000E1629"/>
    <w:rsid w:val="000E1D53"/>
    <w:rsid w:val="000E1D7C"/>
    <w:rsid w:val="000E1DB9"/>
    <w:rsid w:val="000E21BD"/>
    <w:rsid w:val="000E2534"/>
    <w:rsid w:val="000E28B9"/>
    <w:rsid w:val="000E3408"/>
    <w:rsid w:val="000E5F7A"/>
    <w:rsid w:val="000E6307"/>
    <w:rsid w:val="000E6D36"/>
    <w:rsid w:val="000E7610"/>
    <w:rsid w:val="000F0090"/>
    <w:rsid w:val="000F084D"/>
    <w:rsid w:val="000F0F8D"/>
    <w:rsid w:val="000F1612"/>
    <w:rsid w:val="000F1E2F"/>
    <w:rsid w:val="000F2317"/>
    <w:rsid w:val="000F239A"/>
    <w:rsid w:val="000F2874"/>
    <w:rsid w:val="000F29FB"/>
    <w:rsid w:val="000F3150"/>
    <w:rsid w:val="000F31B1"/>
    <w:rsid w:val="000F32B3"/>
    <w:rsid w:val="000F3842"/>
    <w:rsid w:val="000F39FA"/>
    <w:rsid w:val="000F3C5E"/>
    <w:rsid w:val="000F3E07"/>
    <w:rsid w:val="000F4616"/>
    <w:rsid w:val="000F4CF3"/>
    <w:rsid w:val="000F4D96"/>
    <w:rsid w:val="000F5295"/>
    <w:rsid w:val="000F5718"/>
    <w:rsid w:val="000F57C3"/>
    <w:rsid w:val="000F5BA3"/>
    <w:rsid w:val="000F62F4"/>
    <w:rsid w:val="000F63B5"/>
    <w:rsid w:val="000F63BD"/>
    <w:rsid w:val="000F6B8C"/>
    <w:rsid w:val="000F7101"/>
    <w:rsid w:val="000F76C1"/>
    <w:rsid w:val="000F776A"/>
    <w:rsid w:val="000F7A4D"/>
    <w:rsid w:val="000F7C6A"/>
    <w:rsid w:val="00100AC1"/>
    <w:rsid w:val="00100B03"/>
    <w:rsid w:val="00100C47"/>
    <w:rsid w:val="00100F6F"/>
    <w:rsid w:val="00101323"/>
    <w:rsid w:val="001015F4"/>
    <w:rsid w:val="0010265E"/>
    <w:rsid w:val="00102A1F"/>
    <w:rsid w:val="00102B6E"/>
    <w:rsid w:val="0010347E"/>
    <w:rsid w:val="00103E72"/>
    <w:rsid w:val="00104345"/>
    <w:rsid w:val="001046A2"/>
    <w:rsid w:val="001051A0"/>
    <w:rsid w:val="001054DA"/>
    <w:rsid w:val="00106728"/>
    <w:rsid w:val="00107108"/>
    <w:rsid w:val="00107B38"/>
    <w:rsid w:val="00107CEB"/>
    <w:rsid w:val="00107D0E"/>
    <w:rsid w:val="00107FC8"/>
    <w:rsid w:val="001105C6"/>
    <w:rsid w:val="00110DBD"/>
    <w:rsid w:val="00111AE3"/>
    <w:rsid w:val="00112006"/>
    <w:rsid w:val="0011202E"/>
    <w:rsid w:val="001122CA"/>
    <w:rsid w:val="001123A4"/>
    <w:rsid w:val="00114809"/>
    <w:rsid w:val="001149D8"/>
    <w:rsid w:val="00114BB9"/>
    <w:rsid w:val="00114DC8"/>
    <w:rsid w:val="00114E45"/>
    <w:rsid w:val="00114E65"/>
    <w:rsid w:val="00115389"/>
    <w:rsid w:val="0011570C"/>
    <w:rsid w:val="00116022"/>
    <w:rsid w:val="001166B4"/>
    <w:rsid w:val="001167B0"/>
    <w:rsid w:val="00116C20"/>
    <w:rsid w:val="00116CC2"/>
    <w:rsid w:val="00116EB9"/>
    <w:rsid w:val="001171AE"/>
    <w:rsid w:val="00117216"/>
    <w:rsid w:val="00117445"/>
    <w:rsid w:val="001202DD"/>
    <w:rsid w:val="001204C8"/>
    <w:rsid w:val="001209C0"/>
    <w:rsid w:val="00120A58"/>
    <w:rsid w:val="0012121B"/>
    <w:rsid w:val="0012163F"/>
    <w:rsid w:val="00121DBE"/>
    <w:rsid w:val="00121E4F"/>
    <w:rsid w:val="00122C25"/>
    <w:rsid w:val="001236F0"/>
    <w:rsid w:val="00124054"/>
    <w:rsid w:val="00124E45"/>
    <w:rsid w:val="001253AC"/>
    <w:rsid w:val="00125B4E"/>
    <w:rsid w:val="001262FA"/>
    <w:rsid w:val="001273F3"/>
    <w:rsid w:val="00127BAC"/>
    <w:rsid w:val="00127D42"/>
    <w:rsid w:val="00130470"/>
    <w:rsid w:val="00130ACB"/>
    <w:rsid w:val="00130E41"/>
    <w:rsid w:val="0013114C"/>
    <w:rsid w:val="001319FE"/>
    <w:rsid w:val="00132CFF"/>
    <w:rsid w:val="00134465"/>
    <w:rsid w:val="001348B5"/>
    <w:rsid w:val="00135E68"/>
    <w:rsid w:val="00136121"/>
    <w:rsid w:val="00136A81"/>
    <w:rsid w:val="00136D82"/>
    <w:rsid w:val="00136DCD"/>
    <w:rsid w:val="00136F0B"/>
    <w:rsid w:val="001373EE"/>
    <w:rsid w:val="00137726"/>
    <w:rsid w:val="00137881"/>
    <w:rsid w:val="001378FA"/>
    <w:rsid w:val="0014021F"/>
    <w:rsid w:val="001406C0"/>
    <w:rsid w:val="00140F8F"/>
    <w:rsid w:val="00141026"/>
    <w:rsid w:val="00141993"/>
    <w:rsid w:val="00141B6F"/>
    <w:rsid w:val="00141E6C"/>
    <w:rsid w:val="00143007"/>
    <w:rsid w:val="001430A3"/>
    <w:rsid w:val="001431D4"/>
    <w:rsid w:val="00143465"/>
    <w:rsid w:val="00143DDD"/>
    <w:rsid w:val="00143F8E"/>
    <w:rsid w:val="001441CE"/>
    <w:rsid w:val="00145634"/>
    <w:rsid w:val="001458E9"/>
    <w:rsid w:val="00145ADF"/>
    <w:rsid w:val="00146D6E"/>
    <w:rsid w:val="00146F25"/>
    <w:rsid w:val="00146F2A"/>
    <w:rsid w:val="001475C6"/>
    <w:rsid w:val="00150DFB"/>
    <w:rsid w:val="00151EEC"/>
    <w:rsid w:val="00152310"/>
    <w:rsid w:val="001523E1"/>
    <w:rsid w:val="0015244D"/>
    <w:rsid w:val="00152D49"/>
    <w:rsid w:val="0015347F"/>
    <w:rsid w:val="001545ED"/>
    <w:rsid w:val="001547CB"/>
    <w:rsid w:val="0015516E"/>
    <w:rsid w:val="00155280"/>
    <w:rsid w:val="00155EFD"/>
    <w:rsid w:val="0015625A"/>
    <w:rsid w:val="00156444"/>
    <w:rsid w:val="0015683F"/>
    <w:rsid w:val="001604EB"/>
    <w:rsid w:val="0016116E"/>
    <w:rsid w:val="001616F8"/>
    <w:rsid w:val="00161B3B"/>
    <w:rsid w:val="001626A7"/>
    <w:rsid w:val="001634BB"/>
    <w:rsid w:val="00163A1B"/>
    <w:rsid w:val="00163D92"/>
    <w:rsid w:val="00164745"/>
    <w:rsid w:val="00164B83"/>
    <w:rsid w:val="0016510C"/>
    <w:rsid w:val="00165389"/>
    <w:rsid w:val="001655C6"/>
    <w:rsid w:val="00165763"/>
    <w:rsid w:val="00165913"/>
    <w:rsid w:val="0016608E"/>
    <w:rsid w:val="001666C4"/>
    <w:rsid w:val="00167018"/>
    <w:rsid w:val="001672BC"/>
    <w:rsid w:val="0016743C"/>
    <w:rsid w:val="00167BD7"/>
    <w:rsid w:val="00167E30"/>
    <w:rsid w:val="00167E86"/>
    <w:rsid w:val="00170029"/>
    <w:rsid w:val="00170F81"/>
    <w:rsid w:val="00172500"/>
    <w:rsid w:val="00172677"/>
    <w:rsid w:val="00172C4E"/>
    <w:rsid w:val="00172E72"/>
    <w:rsid w:val="001732D7"/>
    <w:rsid w:val="00173381"/>
    <w:rsid w:val="00173530"/>
    <w:rsid w:val="00174173"/>
    <w:rsid w:val="0017445D"/>
    <w:rsid w:val="00174B62"/>
    <w:rsid w:val="00175869"/>
    <w:rsid w:val="0017591F"/>
    <w:rsid w:val="00175B2B"/>
    <w:rsid w:val="00175C16"/>
    <w:rsid w:val="00176052"/>
    <w:rsid w:val="00176A8F"/>
    <w:rsid w:val="00176C30"/>
    <w:rsid w:val="00176D3F"/>
    <w:rsid w:val="0017743A"/>
    <w:rsid w:val="00177697"/>
    <w:rsid w:val="00180B09"/>
    <w:rsid w:val="001814C7"/>
    <w:rsid w:val="00181E9F"/>
    <w:rsid w:val="00182879"/>
    <w:rsid w:val="00182C0D"/>
    <w:rsid w:val="00182E81"/>
    <w:rsid w:val="00182EFF"/>
    <w:rsid w:val="00184341"/>
    <w:rsid w:val="001843AF"/>
    <w:rsid w:val="00184ABD"/>
    <w:rsid w:val="00184CEB"/>
    <w:rsid w:val="00185D8D"/>
    <w:rsid w:val="00186BC5"/>
    <w:rsid w:val="00186FC1"/>
    <w:rsid w:val="00187241"/>
    <w:rsid w:val="00187333"/>
    <w:rsid w:val="00187496"/>
    <w:rsid w:val="00190191"/>
    <w:rsid w:val="00190F50"/>
    <w:rsid w:val="001926A8"/>
    <w:rsid w:val="00192F00"/>
    <w:rsid w:val="00194EA5"/>
    <w:rsid w:val="001954DD"/>
    <w:rsid w:val="001966A3"/>
    <w:rsid w:val="00196837"/>
    <w:rsid w:val="001972B3"/>
    <w:rsid w:val="001A02C9"/>
    <w:rsid w:val="001A0509"/>
    <w:rsid w:val="001A0AEA"/>
    <w:rsid w:val="001A0D1D"/>
    <w:rsid w:val="001A0ECA"/>
    <w:rsid w:val="001A0F24"/>
    <w:rsid w:val="001A1051"/>
    <w:rsid w:val="001A1793"/>
    <w:rsid w:val="001A1D9F"/>
    <w:rsid w:val="001A1E65"/>
    <w:rsid w:val="001A1F47"/>
    <w:rsid w:val="001A23AF"/>
    <w:rsid w:val="001A25CB"/>
    <w:rsid w:val="001A2677"/>
    <w:rsid w:val="001A2D09"/>
    <w:rsid w:val="001A3AFC"/>
    <w:rsid w:val="001A3E9F"/>
    <w:rsid w:val="001A3EC4"/>
    <w:rsid w:val="001A449E"/>
    <w:rsid w:val="001A6488"/>
    <w:rsid w:val="001A671D"/>
    <w:rsid w:val="001A6E68"/>
    <w:rsid w:val="001A6EE6"/>
    <w:rsid w:val="001A7785"/>
    <w:rsid w:val="001A7848"/>
    <w:rsid w:val="001A7982"/>
    <w:rsid w:val="001A79C4"/>
    <w:rsid w:val="001B05B6"/>
    <w:rsid w:val="001B0841"/>
    <w:rsid w:val="001B1459"/>
    <w:rsid w:val="001B1A87"/>
    <w:rsid w:val="001B1C2C"/>
    <w:rsid w:val="001B23FF"/>
    <w:rsid w:val="001B3EEB"/>
    <w:rsid w:val="001B4BF6"/>
    <w:rsid w:val="001B50E4"/>
    <w:rsid w:val="001B534F"/>
    <w:rsid w:val="001B53D1"/>
    <w:rsid w:val="001B5CDE"/>
    <w:rsid w:val="001B5D25"/>
    <w:rsid w:val="001B6844"/>
    <w:rsid w:val="001B687F"/>
    <w:rsid w:val="001B708C"/>
    <w:rsid w:val="001B7132"/>
    <w:rsid w:val="001C004E"/>
    <w:rsid w:val="001C041A"/>
    <w:rsid w:val="001C1BD4"/>
    <w:rsid w:val="001C1E67"/>
    <w:rsid w:val="001C23F5"/>
    <w:rsid w:val="001C252E"/>
    <w:rsid w:val="001C2AF4"/>
    <w:rsid w:val="001C2E49"/>
    <w:rsid w:val="001C3400"/>
    <w:rsid w:val="001C340F"/>
    <w:rsid w:val="001C4359"/>
    <w:rsid w:val="001C46AF"/>
    <w:rsid w:val="001C602B"/>
    <w:rsid w:val="001C66BF"/>
    <w:rsid w:val="001C6794"/>
    <w:rsid w:val="001C706D"/>
    <w:rsid w:val="001C71D4"/>
    <w:rsid w:val="001C72D9"/>
    <w:rsid w:val="001C74E8"/>
    <w:rsid w:val="001D0865"/>
    <w:rsid w:val="001D182F"/>
    <w:rsid w:val="001D21D5"/>
    <w:rsid w:val="001D2204"/>
    <w:rsid w:val="001D26C8"/>
    <w:rsid w:val="001D2BA3"/>
    <w:rsid w:val="001D3B1F"/>
    <w:rsid w:val="001D4DC6"/>
    <w:rsid w:val="001D4E98"/>
    <w:rsid w:val="001D4EBC"/>
    <w:rsid w:val="001D59A2"/>
    <w:rsid w:val="001D6CFA"/>
    <w:rsid w:val="001D6F3E"/>
    <w:rsid w:val="001D790F"/>
    <w:rsid w:val="001D7C19"/>
    <w:rsid w:val="001D7DAA"/>
    <w:rsid w:val="001D7F55"/>
    <w:rsid w:val="001E1661"/>
    <w:rsid w:val="001E1951"/>
    <w:rsid w:val="001E19ED"/>
    <w:rsid w:val="001E1C67"/>
    <w:rsid w:val="001E1D66"/>
    <w:rsid w:val="001E1EDF"/>
    <w:rsid w:val="001E22EF"/>
    <w:rsid w:val="001E2FAB"/>
    <w:rsid w:val="001E3172"/>
    <w:rsid w:val="001E3D04"/>
    <w:rsid w:val="001E40A6"/>
    <w:rsid w:val="001E4AA7"/>
    <w:rsid w:val="001E4FDE"/>
    <w:rsid w:val="001E5C3A"/>
    <w:rsid w:val="001E5F27"/>
    <w:rsid w:val="001E63EC"/>
    <w:rsid w:val="001E6960"/>
    <w:rsid w:val="001E6CDC"/>
    <w:rsid w:val="001E7EEE"/>
    <w:rsid w:val="001F04AC"/>
    <w:rsid w:val="001F0D86"/>
    <w:rsid w:val="001F110D"/>
    <w:rsid w:val="001F233E"/>
    <w:rsid w:val="001F2452"/>
    <w:rsid w:val="001F2B7B"/>
    <w:rsid w:val="001F2CAD"/>
    <w:rsid w:val="001F2E33"/>
    <w:rsid w:val="001F36FC"/>
    <w:rsid w:val="001F40A8"/>
    <w:rsid w:val="001F51F3"/>
    <w:rsid w:val="001F55C1"/>
    <w:rsid w:val="001F5AB0"/>
    <w:rsid w:val="001F639A"/>
    <w:rsid w:val="001F66C6"/>
    <w:rsid w:val="001F6947"/>
    <w:rsid w:val="001F69DB"/>
    <w:rsid w:val="001F7018"/>
    <w:rsid w:val="001F7333"/>
    <w:rsid w:val="001F7A8D"/>
    <w:rsid w:val="001F7F37"/>
    <w:rsid w:val="00201334"/>
    <w:rsid w:val="0020192E"/>
    <w:rsid w:val="00201E9E"/>
    <w:rsid w:val="0020209E"/>
    <w:rsid w:val="00202C61"/>
    <w:rsid w:val="00202DF7"/>
    <w:rsid w:val="002036B0"/>
    <w:rsid w:val="00203A20"/>
    <w:rsid w:val="00203A6E"/>
    <w:rsid w:val="00203DD8"/>
    <w:rsid w:val="002040C1"/>
    <w:rsid w:val="0020447E"/>
    <w:rsid w:val="0020532F"/>
    <w:rsid w:val="0020556E"/>
    <w:rsid w:val="0020608B"/>
    <w:rsid w:val="002061C4"/>
    <w:rsid w:val="0020669E"/>
    <w:rsid w:val="00210D9A"/>
    <w:rsid w:val="00211ADB"/>
    <w:rsid w:val="00211F88"/>
    <w:rsid w:val="00212185"/>
    <w:rsid w:val="002130D2"/>
    <w:rsid w:val="0021313D"/>
    <w:rsid w:val="0021387B"/>
    <w:rsid w:val="002138ED"/>
    <w:rsid w:val="00213D71"/>
    <w:rsid w:val="0021422B"/>
    <w:rsid w:val="002145F8"/>
    <w:rsid w:val="00214658"/>
    <w:rsid w:val="00214A81"/>
    <w:rsid w:val="002151BB"/>
    <w:rsid w:val="0021568E"/>
    <w:rsid w:val="00216816"/>
    <w:rsid w:val="00217287"/>
    <w:rsid w:val="0021736F"/>
    <w:rsid w:val="002176C2"/>
    <w:rsid w:val="00217B05"/>
    <w:rsid w:val="00217BE0"/>
    <w:rsid w:val="00217ED9"/>
    <w:rsid w:val="00217EE1"/>
    <w:rsid w:val="002200F7"/>
    <w:rsid w:val="00221182"/>
    <w:rsid w:val="0022133E"/>
    <w:rsid w:val="0022152C"/>
    <w:rsid w:val="0022178E"/>
    <w:rsid w:val="00222660"/>
    <w:rsid w:val="00222EE6"/>
    <w:rsid w:val="002230C1"/>
    <w:rsid w:val="00223C67"/>
    <w:rsid w:val="00223FDA"/>
    <w:rsid w:val="0022476E"/>
    <w:rsid w:val="00224E25"/>
    <w:rsid w:val="00226A54"/>
    <w:rsid w:val="00230386"/>
    <w:rsid w:val="00230720"/>
    <w:rsid w:val="00230E3D"/>
    <w:rsid w:val="0023101E"/>
    <w:rsid w:val="00231990"/>
    <w:rsid w:val="002320A9"/>
    <w:rsid w:val="0023264F"/>
    <w:rsid w:val="00232D21"/>
    <w:rsid w:val="00232DEF"/>
    <w:rsid w:val="00232FEC"/>
    <w:rsid w:val="00233435"/>
    <w:rsid w:val="002335DC"/>
    <w:rsid w:val="00234EB8"/>
    <w:rsid w:val="00235626"/>
    <w:rsid w:val="00236143"/>
    <w:rsid w:val="00236D74"/>
    <w:rsid w:val="00236EA0"/>
    <w:rsid w:val="002373B5"/>
    <w:rsid w:val="002379CE"/>
    <w:rsid w:val="00237ED1"/>
    <w:rsid w:val="002402AC"/>
    <w:rsid w:val="00241124"/>
    <w:rsid w:val="002413E3"/>
    <w:rsid w:val="002419CA"/>
    <w:rsid w:val="00241ED1"/>
    <w:rsid w:val="00242136"/>
    <w:rsid w:val="00242BB7"/>
    <w:rsid w:val="0024315D"/>
    <w:rsid w:val="00245145"/>
    <w:rsid w:val="002454CD"/>
    <w:rsid w:val="0024556E"/>
    <w:rsid w:val="0024572D"/>
    <w:rsid w:val="002458E3"/>
    <w:rsid w:val="0024659F"/>
    <w:rsid w:val="00247202"/>
    <w:rsid w:val="00247585"/>
    <w:rsid w:val="00247CAA"/>
    <w:rsid w:val="00247E80"/>
    <w:rsid w:val="002505E9"/>
    <w:rsid w:val="00251131"/>
    <w:rsid w:val="002516DD"/>
    <w:rsid w:val="002518F1"/>
    <w:rsid w:val="00251B00"/>
    <w:rsid w:val="0025383D"/>
    <w:rsid w:val="0025400F"/>
    <w:rsid w:val="00254055"/>
    <w:rsid w:val="002553B4"/>
    <w:rsid w:val="00255931"/>
    <w:rsid w:val="002564B2"/>
    <w:rsid w:val="00256B13"/>
    <w:rsid w:val="00256DB5"/>
    <w:rsid w:val="002577D7"/>
    <w:rsid w:val="00257B33"/>
    <w:rsid w:val="0026001E"/>
    <w:rsid w:val="00260D80"/>
    <w:rsid w:val="00260F23"/>
    <w:rsid w:val="002613A6"/>
    <w:rsid w:val="00261907"/>
    <w:rsid w:val="0026210F"/>
    <w:rsid w:val="002621D2"/>
    <w:rsid w:val="002624B7"/>
    <w:rsid w:val="00262B7C"/>
    <w:rsid w:val="00262D81"/>
    <w:rsid w:val="00263135"/>
    <w:rsid w:val="00263B1B"/>
    <w:rsid w:val="002641B6"/>
    <w:rsid w:val="00264473"/>
    <w:rsid w:val="002648BF"/>
    <w:rsid w:val="00264B27"/>
    <w:rsid w:val="00264B59"/>
    <w:rsid w:val="002658B0"/>
    <w:rsid w:val="0026592E"/>
    <w:rsid w:val="00265A3C"/>
    <w:rsid w:val="00266F3D"/>
    <w:rsid w:val="00267017"/>
    <w:rsid w:val="0026733A"/>
    <w:rsid w:val="0026733E"/>
    <w:rsid w:val="00267B25"/>
    <w:rsid w:val="00267C01"/>
    <w:rsid w:val="00270783"/>
    <w:rsid w:val="0027152D"/>
    <w:rsid w:val="00271598"/>
    <w:rsid w:val="00273977"/>
    <w:rsid w:val="002739CB"/>
    <w:rsid w:val="00273F8E"/>
    <w:rsid w:val="002750BB"/>
    <w:rsid w:val="00275218"/>
    <w:rsid w:val="0027566E"/>
    <w:rsid w:val="00275C4B"/>
    <w:rsid w:val="00275CF8"/>
    <w:rsid w:val="00275D17"/>
    <w:rsid w:val="00275F8E"/>
    <w:rsid w:val="00276F7E"/>
    <w:rsid w:val="00277A81"/>
    <w:rsid w:val="00277AEA"/>
    <w:rsid w:val="00280F73"/>
    <w:rsid w:val="0028285A"/>
    <w:rsid w:val="00282998"/>
    <w:rsid w:val="00282BF8"/>
    <w:rsid w:val="00282D56"/>
    <w:rsid w:val="00282D77"/>
    <w:rsid w:val="00282DDC"/>
    <w:rsid w:val="002851C7"/>
    <w:rsid w:val="002854C6"/>
    <w:rsid w:val="0028616A"/>
    <w:rsid w:val="00286CA6"/>
    <w:rsid w:val="00287B15"/>
    <w:rsid w:val="00287E7B"/>
    <w:rsid w:val="00290C16"/>
    <w:rsid w:val="002911EB"/>
    <w:rsid w:val="0029177D"/>
    <w:rsid w:val="00293CC2"/>
    <w:rsid w:val="0029450E"/>
    <w:rsid w:val="00295330"/>
    <w:rsid w:val="00295B5D"/>
    <w:rsid w:val="00295FFD"/>
    <w:rsid w:val="0029606A"/>
    <w:rsid w:val="00296E94"/>
    <w:rsid w:val="00297251"/>
    <w:rsid w:val="00297398"/>
    <w:rsid w:val="002979D6"/>
    <w:rsid w:val="00297E2A"/>
    <w:rsid w:val="00297EFB"/>
    <w:rsid w:val="002A0364"/>
    <w:rsid w:val="002A0BF0"/>
    <w:rsid w:val="002A1D6F"/>
    <w:rsid w:val="002A251A"/>
    <w:rsid w:val="002A251C"/>
    <w:rsid w:val="002A366C"/>
    <w:rsid w:val="002A3876"/>
    <w:rsid w:val="002A41A6"/>
    <w:rsid w:val="002A45D9"/>
    <w:rsid w:val="002A5393"/>
    <w:rsid w:val="002A58F2"/>
    <w:rsid w:val="002A5C32"/>
    <w:rsid w:val="002A675D"/>
    <w:rsid w:val="002A68EA"/>
    <w:rsid w:val="002A6AB9"/>
    <w:rsid w:val="002A6DE5"/>
    <w:rsid w:val="002A74C3"/>
    <w:rsid w:val="002A78E6"/>
    <w:rsid w:val="002A7B72"/>
    <w:rsid w:val="002A7EE0"/>
    <w:rsid w:val="002B07DD"/>
    <w:rsid w:val="002B0A48"/>
    <w:rsid w:val="002B0D1B"/>
    <w:rsid w:val="002B1634"/>
    <w:rsid w:val="002B18FE"/>
    <w:rsid w:val="002B32DE"/>
    <w:rsid w:val="002B36DA"/>
    <w:rsid w:val="002B3E76"/>
    <w:rsid w:val="002B3F25"/>
    <w:rsid w:val="002B449E"/>
    <w:rsid w:val="002B6100"/>
    <w:rsid w:val="002B6BE6"/>
    <w:rsid w:val="002B6D04"/>
    <w:rsid w:val="002B781C"/>
    <w:rsid w:val="002B7E35"/>
    <w:rsid w:val="002B7E40"/>
    <w:rsid w:val="002C01DD"/>
    <w:rsid w:val="002C0205"/>
    <w:rsid w:val="002C0C6A"/>
    <w:rsid w:val="002C16DF"/>
    <w:rsid w:val="002C19B3"/>
    <w:rsid w:val="002C1C2C"/>
    <w:rsid w:val="002C2B93"/>
    <w:rsid w:val="002C314B"/>
    <w:rsid w:val="002C3B43"/>
    <w:rsid w:val="002C515E"/>
    <w:rsid w:val="002C5A08"/>
    <w:rsid w:val="002C636D"/>
    <w:rsid w:val="002C7038"/>
    <w:rsid w:val="002C73B9"/>
    <w:rsid w:val="002C795F"/>
    <w:rsid w:val="002D0E36"/>
    <w:rsid w:val="002D0E46"/>
    <w:rsid w:val="002D10D2"/>
    <w:rsid w:val="002D1783"/>
    <w:rsid w:val="002D18D8"/>
    <w:rsid w:val="002D1EFA"/>
    <w:rsid w:val="002D1F30"/>
    <w:rsid w:val="002D26F1"/>
    <w:rsid w:val="002D2786"/>
    <w:rsid w:val="002D2925"/>
    <w:rsid w:val="002D2E21"/>
    <w:rsid w:val="002D2EDC"/>
    <w:rsid w:val="002D3307"/>
    <w:rsid w:val="002D34D5"/>
    <w:rsid w:val="002D3C37"/>
    <w:rsid w:val="002D41C5"/>
    <w:rsid w:val="002D502F"/>
    <w:rsid w:val="002D6540"/>
    <w:rsid w:val="002D68DA"/>
    <w:rsid w:val="002D69C9"/>
    <w:rsid w:val="002D7536"/>
    <w:rsid w:val="002D7BE6"/>
    <w:rsid w:val="002E103C"/>
    <w:rsid w:val="002E11E7"/>
    <w:rsid w:val="002E1AAD"/>
    <w:rsid w:val="002E2359"/>
    <w:rsid w:val="002E3045"/>
    <w:rsid w:val="002E32C8"/>
    <w:rsid w:val="002E3C23"/>
    <w:rsid w:val="002E425D"/>
    <w:rsid w:val="002E76C3"/>
    <w:rsid w:val="002E775F"/>
    <w:rsid w:val="002E780A"/>
    <w:rsid w:val="002F0442"/>
    <w:rsid w:val="002F076C"/>
    <w:rsid w:val="002F1236"/>
    <w:rsid w:val="002F1399"/>
    <w:rsid w:val="002F19BF"/>
    <w:rsid w:val="002F1AF5"/>
    <w:rsid w:val="002F1D6F"/>
    <w:rsid w:val="002F1E52"/>
    <w:rsid w:val="002F2784"/>
    <w:rsid w:val="002F2AEC"/>
    <w:rsid w:val="002F3B22"/>
    <w:rsid w:val="002F412E"/>
    <w:rsid w:val="002F442B"/>
    <w:rsid w:val="002F5037"/>
    <w:rsid w:val="002F50B2"/>
    <w:rsid w:val="002F5DC1"/>
    <w:rsid w:val="002F6343"/>
    <w:rsid w:val="002F6A00"/>
    <w:rsid w:val="002F6B6C"/>
    <w:rsid w:val="002F6D70"/>
    <w:rsid w:val="002F70E9"/>
    <w:rsid w:val="003003EB"/>
    <w:rsid w:val="0030066E"/>
    <w:rsid w:val="00300850"/>
    <w:rsid w:val="003008B2"/>
    <w:rsid w:val="00300C2C"/>
    <w:rsid w:val="00301012"/>
    <w:rsid w:val="00301150"/>
    <w:rsid w:val="00301731"/>
    <w:rsid w:val="0030190E"/>
    <w:rsid w:val="00301B00"/>
    <w:rsid w:val="0030213D"/>
    <w:rsid w:val="00302D68"/>
    <w:rsid w:val="00303083"/>
    <w:rsid w:val="003037F5"/>
    <w:rsid w:val="00303A20"/>
    <w:rsid w:val="00304430"/>
    <w:rsid w:val="00305638"/>
    <w:rsid w:val="00305FE6"/>
    <w:rsid w:val="00306210"/>
    <w:rsid w:val="00306522"/>
    <w:rsid w:val="00306926"/>
    <w:rsid w:val="00306D47"/>
    <w:rsid w:val="003078CE"/>
    <w:rsid w:val="00307AC0"/>
    <w:rsid w:val="00307EA5"/>
    <w:rsid w:val="00310026"/>
    <w:rsid w:val="00310357"/>
    <w:rsid w:val="0031083A"/>
    <w:rsid w:val="00310E31"/>
    <w:rsid w:val="00310E60"/>
    <w:rsid w:val="00311C51"/>
    <w:rsid w:val="003122DD"/>
    <w:rsid w:val="00312C03"/>
    <w:rsid w:val="003133CD"/>
    <w:rsid w:val="00313788"/>
    <w:rsid w:val="00313962"/>
    <w:rsid w:val="00313BF8"/>
    <w:rsid w:val="0031588E"/>
    <w:rsid w:val="003161F9"/>
    <w:rsid w:val="00316EA1"/>
    <w:rsid w:val="0031716D"/>
    <w:rsid w:val="00317563"/>
    <w:rsid w:val="003178D4"/>
    <w:rsid w:val="0032037A"/>
    <w:rsid w:val="00320573"/>
    <w:rsid w:val="00320A9E"/>
    <w:rsid w:val="00320B76"/>
    <w:rsid w:val="00320C2E"/>
    <w:rsid w:val="00321183"/>
    <w:rsid w:val="0032177B"/>
    <w:rsid w:val="0032198B"/>
    <w:rsid w:val="00321E5B"/>
    <w:rsid w:val="00321FA6"/>
    <w:rsid w:val="00322049"/>
    <w:rsid w:val="003221C2"/>
    <w:rsid w:val="003226F5"/>
    <w:rsid w:val="00322764"/>
    <w:rsid w:val="00323850"/>
    <w:rsid w:val="00323A39"/>
    <w:rsid w:val="00323ED1"/>
    <w:rsid w:val="00323F7D"/>
    <w:rsid w:val="003246EB"/>
    <w:rsid w:val="003246FA"/>
    <w:rsid w:val="0032540A"/>
    <w:rsid w:val="003255FE"/>
    <w:rsid w:val="00325AC2"/>
    <w:rsid w:val="00325B45"/>
    <w:rsid w:val="00325BC9"/>
    <w:rsid w:val="00326296"/>
    <w:rsid w:val="00326CAF"/>
    <w:rsid w:val="003303FF"/>
    <w:rsid w:val="00330628"/>
    <w:rsid w:val="00330A39"/>
    <w:rsid w:val="003314F1"/>
    <w:rsid w:val="003315B3"/>
    <w:rsid w:val="0033253E"/>
    <w:rsid w:val="003335D1"/>
    <w:rsid w:val="00333CF0"/>
    <w:rsid w:val="00333EB5"/>
    <w:rsid w:val="0033456A"/>
    <w:rsid w:val="00335915"/>
    <w:rsid w:val="00335FD5"/>
    <w:rsid w:val="00336056"/>
    <w:rsid w:val="003361DE"/>
    <w:rsid w:val="00336447"/>
    <w:rsid w:val="003365E8"/>
    <w:rsid w:val="003368C9"/>
    <w:rsid w:val="00336C6C"/>
    <w:rsid w:val="0033744D"/>
    <w:rsid w:val="00337A63"/>
    <w:rsid w:val="00337D52"/>
    <w:rsid w:val="00337DF7"/>
    <w:rsid w:val="00337EB7"/>
    <w:rsid w:val="00340668"/>
    <w:rsid w:val="00340869"/>
    <w:rsid w:val="00340B7E"/>
    <w:rsid w:val="003412FA"/>
    <w:rsid w:val="00341E4A"/>
    <w:rsid w:val="003422BB"/>
    <w:rsid w:val="00342993"/>
    <w:rsid w:val="0034308F"/>
    <w:rsid w:val="003439F7"/>
    <w:rsid w:val="0034411E"/>
    <w:rsid w:val="00344207"/>
    <w:rsid w:val="00344443"/>
    <w:rsid w:val="00344CFE"/>
    <w:rsid w:val="00344FE3"/>
    <w:rsid w:val="0034542D"/>
    <w:rsid w:val="00346128"/>
    <w:rsid w:val="003465F1"/>
    <w:rsid w:val="00346683"/>
    <w:rsid w:val="0034720C"/>
    <w:rsid w:val="0034796C"/>
    <w:rsid w:val="00347C2B"/>
    <w:rsid w:val="003524FE"/>
    <w:rsid w:val="00353BAA"/>
    <w:rsid w:val="00355205"/>
    <w:rsid w:val="00355E9C"/>
    <w:rsid w:val="00356BEC"/>
    <w:rsid w:val="00357008"/>
    <w:rsid w:val="0035705E"/>
    <w:rsid w:val="0035706E"/>
    <w:rsid w:val="003573CB"/>
    <w:rsid w:val="00357488"/>
    <w:rsid w:val="003575ED"/>
    <w:rsid w:val="00360468"/>
    <w:rsid w:val="00360917"/>
    <w:rsid w:val="00360E89"/>
    <w:rsid w:val="00360FEE"/>
    <w:rsid w:val="00361303"/>
    <w:rsid w:val="00361710"/>
    <w:rsid w:val="00361AA9"/>
    <w:rsid w:val="00362198"/>
    <w:rsid w:val="003623B9"/>
    <w:rsid w:val="00363019"/>
    <w:rsid w:val="00364AD7"/>
    <w:rsid w:val="00365C10"/>
    <w:rsid w:val="00366170"/>
    <w:rsid w:val="003668E2"/>
    <w:rsid w:val="00366C32"/>
    <w:rsid w:val="003672E2"/>
    <w:rsid w:val="003674F3"/>
    <w:rsid w:val="00367BA4"/>
    <w:rsid w:val="00367DA8"/>
    <w:rsid w:val="0037037D"/>
    <w:rsid w:val="00370497"/>
    <w:rsid w:val="00370579"/>
    <w:rsid w:val="003706E6"/>
    <w:rsid w:val="00370B39"/>
    <w:rsid w:val="00370B7C"/>
    <w:rsid w:val="00370CF4"/>
    <w:rsid w:val="00370F64"/>
    <w:rsid w:val="003714D5"/>
    <w:rsid w:val="00372323"/>
    <w:rsid w:val="00372406"/>
    <w:rsid w:val="00372545"/>
    <w:rsid w:val="003725F8"/>
    <w:rsid w:val="003726B2"/>
    <w:rsid w:val="003728E7"/>
    <w:rsid w:val="00372F33"/>
    <w:rsid w:val="00373720"/>
    <w:rsid w:val="00373AAE"/>
    <w:rsid w:val="00373D6E"/>
    <w:rsid w:val="0037410C"/>
    <w:rsid w:val="0037554E"/>
    <w:rsid w:val="003758E4"/>
    <w:rsid w:val="00375924"/>
    <w:rsid w:val="00375A5A"/>
    <w:rsid w:val="003765E9"/>
    <w:rsid w:val="003774DB"/>
    <w:rsid w:val="003776E2"/>
    <w:rsid w:val="00377FE1"/>
    <w:rsid w:val="00381618"/>
    <w:rsid w:val="00381645"/>
    <w:rsid w:val="003819C3"/>
    <w:rsid w:val="00381AAE"/>
    <w:rsid w:val="00381BF7"/>
    <w:rsid w:val="003822CE"/>
    <w:rsid w:val="00383301"/>
    <w:rsid w:val="003837B1"/>
    <w:rsid w:val="00383F21"/>
    <w:rsid w:val="00384A21"/>
    <w:rsid w:val="00384E9D"/>
    <w:rsid w:val="00385D99"/>
    <w:rsid w:val="003869EB"/>
    <w:rsid w:val="00386F83"/>
    <w:rsid w:val="003875C4"/>
    <w:rsid w:val="003904C3"/>
    <w:rsid w:val="0039063D"/>
    <w:rsid w:val="003909B3"/>
    <w:rsid w:val="003909DE"/>
    <w:rsid w:val="00391223"/>
    <w:rsid w:val="003913B0"/>
    <w:rsid w:val="003922C0"/>
    <w:rsid w:val="00392326"/>
    <w:rsid w:val="0039244E"/>
    <w:rsid w:val="0039254A"/>
    <w:rsid w:val="003929E3"/>
    <w:rsid w:val="00392D3B"/>
    <w:rsid w:val="00392EC5"/>
    <w:rsid w:val="00393067"/>
    <w:rsid w:val="00393616"/>
    <w:rsid w:val="00394124"/>
    <w:rsid w:val="00394A7F"/>
    <w:rsid w:val="00394F6B"/>
    <w:rsid w:val="00395083"/>
    <w:rsid w:val="00395084"/>
    <w:rsid w:val="0039524C"/>
    <w:rsid w:val="00395383"/>
    <w:rsid w:val="0039576C"/>
    <w:rsid w:val="003959C0"/>
    <w:rsid w:val="00395CEA"/>
    <w:rsid w:val="00396E7C"/>
    <w:rsid w:val="00397A1D"/>
    <w:rsid w:val="00397DE5"/>
    <w:rsid w:val="003A0EA0"/>
    <w:rsid w:val="003A102B"/>
    <w:rsid w:val="003A12EB"/>
    <w:rsid w:val="003A13C8"/>
    <w:rsid w:val="003A19EA"/>
    <w:rsid w:val="003A271C"/>
    <w:rsid w:val="003A294F"/>
    <w:rsid w:val="003A2C83"/>
    <w:rsid w:val="003A315C"/>
    <w:rsid w:val="003A34C4"/>
    <w:rsid w:val="003A351B"/>
    <w:rsid w:val="003A35F1"/>
    <w:rsid w:val="003A47DE"/>
    <w:rsid w:val="003A4D0F"/>
    <w:rsid w:val="003A4D5E"/>
    <w:rsid w:val="003A5500"/>
    <w:rsid w:val="003A6000"/>
    <w:rsid w:val="003A6548"/>
    <w:rsid w:val="003A72E2"/>
    <w:rsid w:val="003A75E2"/>
    <w:rsid w:val="003A7E9F"/>
    <w:rsid w:val="003B0346"/>
    <w:rsid w:val="003B1240"/>
    <w:rsid w:val="003B1C3D"/>
    <w:rsid w:val="003B1E30"/>
    <w:rsid w:val="003B2AB5"/>
    <w:rsid w:val="003B3607"/>
    <w:rsid w:val="003B37B4"/>
    <w:rsid w:val="003B3CE4"/>
    <w:rsid w:val="003B40A8"/>
    <w:rsid w:val="003B43CC"/>
    <w:rsid w:val="003B5077"/>
    <w:rsid w:val="003B5A3D"/>
    <w:rsid w:val="003B63A5"/>
    <w:rsid w:val="003B662C"/>
    <w:rsid w:val="003B70EE"/>
    <w:rsid w:val="003B734B"/>
    <w:rsid w:val="003B7E32"/>
    <w:rsid w:val="003C00EA"/>
    <w:rsid w:val="003C0622"/>
    <w:rsid w:val="003C0720"/>
    <w:rsid w:val="003C0F28"/>
    <w:rsid w:val="003C10E2"/>
    <w:rsid w:val="003C20D7"/>
    <w:rsid w:val="003C2388"/>
    <w:rsid w:val="003C2B49"/>
    <w:rsid w:val="003C2DAC"/>
    <w:rsid w:val="003C3616"/>
    <w:rsid w:val="003C37AA"/>
    <w:rsid w:val="003C37C5"/>
    <w:rsid w:val="003C3CAB"/>
    <w:rsid w:val="003C3F38"/>
    <w:rsid w:val="003C3FFB"/>
    <w:rsid w:val="003C46BE"/>
    <w:rsid w:val="003C4D41"/>
    <w:rsid w:val="003C516F"/>
    <w:rsid w:val="003C58D0"/>
    <w:rsid w:val="003C5E9F"/>
    <w:rsid w:val="003C6224"/>
    <w:rsid w:val="003C6E7F"/>
    <w:rsid w:val="003C6ECE"/>
    <w:rsid w:val="003C706B"/>
    <w:rsid w:val="003C75DD"/>
    <w:rsid w:val="003C7CD2"/>
    <w:rsid w:val="003D0212"/>
    <w:rsid w:val="003D1C0C"/>
    <w:rsid w:val="003D22AD"/>
    <w:rsid w:val="003D450F"/>
    <w:rsid w:val="003D4FB7"/>
    <w:rsid w:val="003D51B4"/>
    <w:rsid w:val="003D552B"/>
    <w:rsid w:val="003D5B9D"/>
    <w:rsid w:val="003D62F5"/>
    <w:rsid w:val="003D6E6F"/>
    <w:rsid w:val="003D70A9"/>
    <w:rsid w:val="003D7364"/>
    <w:rsid w:val="003D7C9D"/>
    <w:rsid w:val="003D7D31"/>
    <w:rsid w:val="003D7E0D"/>
    <w:rsid w:val="003E0882"/>
    <w:rsid w:val="003E0CB9"/>
    <w:rsid w:val="003E0ED8"/>
    <w:rsid w:val="003E11FA"/>
    <w:rsid w:val="003E161C"/>
    <w:rsid w:val="003E16FE"/>
    <w:rsid w:val="003E1736"/>
    <w:rsid w:val="003E2409"/>
    <w:rsid w:val="003E2A24"/>
    <w:rsid w:val="003E2BDE"/>
    <w:rsid w:val="003E2C78"/>
    <w:rsid w:val="003E3120"/>
    <w:rsid w:val="003E33F9"/>
    <w:rsid w:val="003E3617"/>
    <w:rsid w:val="003E36F3"/>
    <w:rsid w:val="003E380D"/>
    <w:rsid w:val="003E3C53"/>
    <w:rsid w:val="003E3CBD"/>
    <w:rsid w:val="003E4019"/>
    <w:rsid w:val="003E437B"/>
    <w:rsid w:val="003E44AF"/>
    <w:rsid w:val="003E45AE"/>
    <w:rsid w:val="003E493C"/>
    <w:rsid w:val="003E51C0"/>
    <w:rsid w:val="003E5C3C"/>
    <w:rsid w:val="003E73F6"/>
    <w:rsid w:val="003E749A"/>
    <w:rsid w:val="003F013D"/>
    <w:rsid w:val="003F020A"/>
    <w:rsid w:val="003F027E"/>
    <w:rsid w:val="003F03CD"/>
    <w:rsid w:val="003F0786"/>
    <w:rsid w:val="003F1257"/>
    <w:rsid w:val="003F177B"/>
    <w:rsid w:val="003F2B24"/>
    <w:rsid w:val="003F2D87"/>
    <w:rsid w:val="003F302A"/>
    <w:rsid w:val="003F32AB"/>
    <w:rsid w:val="003F36E0"/>
    <w:rsid w:val="003F3C83"/>
    <w:rsid w:val="003F4098"/>
    <w:rsid w:val="003F4294"/>
    <w:rsid w:val="003F45D0"/>
    <w:rsid w:val="003F4634"/>
    <w:rsid w:val="003F4845"/>
    <w:rsid w:val="003F4BF5"/>
    <w:rsid w:val="003F4D92"/>
    <w:rsid w:val="003F51ED"/>
    <w:rsid w:val="003F6111"/>
    <w:rsid w:val="003F63E8"/>
    <w:rsid w:val="003F64E8"/>
    <w:rsid w:val="003F7853"/>
    <w:rsid w:val="003F7DB9"/>
    <w:rsid w:val="003F7E0D"/>
    <w:rsid w:val="003F7FFB"/>
    <w:rsid w:val="0040070B"/>
    <w:rsid w:val="004007D6"/>
    <w:rsid w:val="004008BC"/>
    <w:rsid w:val="0040104D"/>
    <w:rsid w:val="00401388"/>
    <w:rsid w:val="004014F4"/>
    <w:rsid w:val="00401845"/>
    <w:rsid w:val="0040223B"/>
    <w:rsid w:val="00402308"/>
    <w:rsid w:val="0040290E"/>
    <w:rsid w:val="00402A4E"/>
    <w:rsid w:val="004046D7"/>
    <w:rsid w:val="00405294"/>
    <w:rsid w:val="00405F3B"/>
    <w:rsid w:val="004078C6"/>
    <w:rsid w:val="00407B3F"/>
    <w:rsid w:val="00407F08"/>
    <w:rsid w:val="00410348"/>
    <w:rsid w:val="004104E8"/>
    <w:rsid w:val="00412351"/>
    <w:rsid w:val="0041276A"/>
    <w:rsid w:val="004131CB"/>
    <w:rsid w:val="00413772"/>
    <w:rsid w:val="004137CA"/>
    <w:rsid w:val="004138FE"/>
    <w:rsid w:val="00413C8F"/>
    <w:rsid w:val="00413E2F"/>
    <w:rsid w:val="00413E7E"/>
    <w:rsid w:val="00414E46"/>
    <w:rsid w:val="0041543A"/>
    <w:rsid w:val="00415521"/>
    <w:rsid w:val="004155C7"/>
    <w:rsid w:val="00415C25"/>
    <w:rsid w:val="00415F6B"/>
    <w:rsid w:val="0041617F"/>
    <w:rsid w:val="0041630A"/>
    <w:rsid w:val="00416C84"/>
    <w:rsid w:val="0041764A"/>
    <w:rsid w:val="00417B3B"/>
    <w:rsid w:val="00420172"/>
    <w:rsid w:val="0042040F"/>
    <w:rsid w:val="004204F0"/>
    <w:rsid w:val="00421601"/>
    <w:rsid w:val="00421ED1"/>
    <w:rsid w:val="0042224F"/>
    <w:rsid w:val="00422B66"/>
    <w:rsid w:val="00423114"/>
    <w:rsid w:val="00423968"/>
    <w:rsid w:val="004239E5"/>
    <w:rsid w:val="00423EC5"/>
    <w:rsid w:val="00424CAE"/>
    <w:rsid w:val="00424D73"/>
    <w:rsid w:val="00424E24"/>
    <w:rsid w:val="00424F3D"/>
    <w:rsid w:val="0042559B"/>
    <w:rsid w:val="004255B3"/>
    <w:rsid w:val="00425717"/>
    <w:rsid w:val="00425E00"/>
    <w:rsid w:val="00425E14"/>
    <w:rsid w:val="004260D3"/>
    <w:rsid w:val="00426276"/>
    <w:rsid w:val="00426AD6"/>
    <w:rsid w:val="00426C7A"/>
    <w:rsid w:val="004306CF"/>
    <w:rsid w:val="004306F3"/>
    <w:rsid w:val="0043081F"/>
    <w:rsid w:val="0043120E"/>
    <w:rsid w:val="0043171E"/>
    <w:rsid w:val="00431B79"/>
    <w:rsid w:val="00431DC7"/>
    <w:rsid w:val="00431E74"/>
    <w:rsid w:val="004321D1"/>
    <w:rsid w:val="004328B8"/>
    <w:rsid w:val="004329E5"/>
    <w:rsid w:val="00432AFE"/>
    <w:rsid w:val="00432C24"/>
    <w:rsid w:val="004330EC"/>
    <w:rsid w:val="0043371B"/>
    <w:rsid w:val="00433853"/>
    <w:rsid w:val="00433A1B"/>
    <w:rsid w:val="00433BC6"/>
    <w:rsid w:val="00434006"/>
    <w:rsid w:val="004342C1"/>
    <w:rsid w:val="00434A7D"/>
    <w:rsid w:val="00435509"/>
    <w:rsid w:val="00435644"/>
    <w:rsid w:val="0043615A"/>
    <w:rsid w:val="004363C6"/>
    <w:rsid w:val="0043672E"/>
    <w:rsid w:val="004370B6"/>
    <w:rsid w:val="00437F57"/>
    <w:rsid w:val="004404F3"/>
    <w:rsid w:val="004407F7"/>
    <w:rsid w:val="00440953"/>
    <w:rsid w:val="00441545"/>
    <w:rsid w:val="00441840"/>
    <w:rsid w:val="00442E97"/>
    <w:rsid w:val="00443043"/>
    <w:rsid w:val="004436C1"/>
    <w:rsid w:val="00443D09"/>
    <w:rsid w:val="00443D50"/>
    <w:rsid w:val="00443E08"/>
    <w:rsid w:val="00443E95"/>
    <w:rsid w:val="00443ED8"/>
    <w:rsid w:val="00444237"/>
    <w:rsid w:val="00444BD0"/>
    <w:rsid w:val="0044674C"/>
    <w:rsid w:val="00446E0A"/>
    <w:rsid w:val="00446FA1"/>
    <w:rsid w:val="0044751E"/>
    <w:rsid w:val="004476B0"/>
    <w:rsid w:val="00447BA6"/>
    <w:rsid w:val="0045109F"/>
    <w:rsid w:val="004511CC"/>
    <w:rsid w:val="0045139D"/>
    <w:rsid w:val="0045202A"/>
    <w:rsid w:val="00452130"/>
    <w:rsid w:val="00452589"/>
    <w:rsid w:val="00452F71"/>
    <w:rsid w:val="0045378C"/>
    <w:rsid w:val="00454090"/>
    <w:rsid w:val="00454921"/>
    <w:rsid w:val="00454EA1"/>
    <w:rsid w:val="00456DCA"/>
    <w:rsid w:val="004577C6"/>
    <w:rsid w:val="00460215"/>
    <w:rsid w:val="0046106E"/>
    <w:rsid w:val="00461DB5"/>
    <w:rsid w:val="00462FEE"/>
    <w:rsid w:val="00463D43"/>
    <w:rsid w:val="00464A2E"/>
    <w:rsid w:val="00464DCE"/>
    <w:rsid w:val="004650C9"/>
    <w:rsid w:val="00465110"/>
    <w:rsid w:val="00465240"/>
    <w:rsid w:val="004652F1"/>
    <w:rsid w:val="0046584C"/>
    <w:rsid w:val="0046589C"/>
    <w:rsid w:val="00465989"/>
    <w:rsid w:val="004663B4"/>
    <w:rsid w:val="00467512"/>
    <w:rsid w:val="0046764B"/>
    <w:rsid w:val="00470621"/>
    <w:rsid w:val="00471604"/>
    <w:rsid w:val="00471981"/>
    <w:rsid w:val="00471B3A"/>
    <w:rsid w:val="00471D34"/>
    <w:rsid w:val="00471F3B"/>
    <w:rsid w:val="00472ADE"/>
    <w:rsid w:val="00473C22"/>
    <w:rsid w:val="00474913"/>
    <w:rsid w:val="00474E7D"/>
    <w:rsid w:val="004751CD"/>
    <w:rsid w:val="004756A2"/>
    <w:rsid w:val="0047574F"/>
    <w:rsid w:val="004760B0"/>
    <w:rsid w:val="00476B2F"/>
    <w:rsid w:val="00476C85"/>
    <w:rsid w:val="00476E91"/>
    <w:rsid w:val="00480AA4"/>
    <w:rsid w:val="00480D90"/>
    <w:rsid w:val="004810B8"/>
    <w:rsid w:val="004812ED"/>
    <w:rsid w:val="00482316"/>
    <w:rsid w:val="00482687"/>
    <w:rsid w:val="00482971"/>
    <w:rsid w:val="004829A0"/>
    <w:rsid w:val="004841AB"/>
    <w:rsid w:val="004841C7"/>
    <w:rsid w:val="00484245"/>
    <w:rsid w:val="00484B10"/>
    <w:rsid w:val="004858E4"/>
    <w:rsid w:val="00486874"/>
    <w:rsid w:val="0048698A"/>
    <w:rsid w:val="00486F67"/>
    <w:rsid w:val="004871D1"/>
    <w:rsid w:val="00487C1E"/>
    <w:rsid w:val="004904B6"/>
    <w:rsid w:val="00490564"/>
    <w:rsid w:val="004907E4"/>
    <w:rsid w:val="004908BC"/>
    <w:rsid w:val="00490F88"/>
    <w:rsid w:val="0049176E"/>
    <w:rsid w:val="00491820"/>
    <w:rsid w:val="004918FA"/>
    <w:rsid w:val="00491E20"/>
    <w:rsid w:val="00493AC6"/>
    <w:rsid w:val="00493E76"/>
    <w:rsid w:val="00493FA8"/>
    <w:rsid w:val="004948AD"/>
    <w:rsid w:val="00495783"/>
    <w:rsid w:val="00496D2C"/>
    <w:rsid w:val="00497977"/>
    <w:rsid w:val="00497CBA"/>
    <w:rsid w:val="00497F48"/>
    <w:rsid w:val="004A02C1"/>
    <w:rsid w:val="004A0BE4"/>
    <w:rsid w:val="004A1789"/>
    <w:rsid w:val="004A1FDD"/>
    <w:rsid w:val="004A24D5"/>
    <w:rsid w:val="004A26B4"/>
    <w:rsid w:val="004A2AA5"/>
    <w:rsid w:val="004A33BC"/>
    <w:rsid w:val="004A3C1C"/>
    <w:rsid w:val="004A411D"/>
    <w:rsid w:val="004A43DB"/>
    <w:rsid w:val="004A4655"/>
    <w:rsid w:val="004A4EE0"/>
    <w:rsid w:val="004A5326"/>
    <w:rsid w:val="004A552F"/>
    <w:rsid w:val="004A5608"/>
    <w:rsid w:val="004A5612"/>
    <w:rsid w:val="004A57EA"/>
    <w:rsid w:val="004A6113"/>
    <w:rsid w:val="004A659E"/>
    <w:rsid w:val="004A65D3"/>
    <w:rsid w:val="004A6825"/>
    <w:rsid w:val="004A7904"/>
    <w:rsid w:val="004A7C8D"/>
    <w:rsid w:val="004B07FB"/>
    <w:rsid w:val="004B0A9A"/>
    <w:rsid w:val="004B0BDB"/>
    <w:rsid w:val="004B0D95"/>
    <w:rsid w:val="004B0F22"/>
    <w:rsid w:val="004B11C1"/>
    <w:rsid w:val="004B1535"/>
    <w:rsid w:val="004B1F53"/>
    <w:rsid w:val="004B23B5"/>
    <w:rsid w:val="004B3C55"/>
    <w:rsid w:val="004B408B"/>
    <w:rsid w:val="004B489B"/>
    <w:rsid w:val="004B4D22"/>
    <w:rsid w:val="004B5BA9"/>
    <w:rsid w:val="004B6120"/>
    <w:rsid w:val="004B6587"/>
    <w:rsid w:val="004B6C05"/>
    <w:rsid w:val="004B7057"/>
    <w:rsid w:val="004B7278"/>
    <w:rsid w:val="004C0771"/>
    <w:rsid w:val="004C08D2"/>
    <w:rsid w:val="004C0AB5"/>
    <w:rsid w:val="004C1190"/>
    <w:rsid w:val="004C137B"/>
    <w:rsid w:val="004C24D0"/>
    <w:rsid w:val="004C2584"/>
    <w:rsid w:val="004C2805"/>
    <w:rsid w:val="004C3145"/>
    <w:rsid w:val="004C31A4"/>
    <w:rsid w:val="004C3329"/>
    <w:rsid w:val="004C34E6"/>
    <w:rsid w:val="004C3836"/>
    <w:rsid w:val="004C38FC"/>
    <w:rsid w:val="004C3E1C"/>
    <w:rsid w:val="004C46BD"/>
    <w:rsid w:val="004C4885"/>
    <w:rsid w:val="004C4AB2"/>
    <w:rsid w:val="004C4CE3"/>
    <w:rsid w:val="004C4D5A"/>
    <w:rsid w:val="004C53AC"/>
    <w:rsid w:val="004C5A4C"/>
    <w:rsid w:val="004C64DD"/>
    <w:rsid w:val="004C672A"/>
    <w:rsid w:val="004C6831"/>
    <w:rsid w:val="004C68BA"/>
    <w:rsid w:val="004C7113"/>
    <w:rsid w:val="004C774B"/>
    <w:rsid w:val="004C7991"/>
    <w:rsid w:val="004D064E"/>
    <w:rsid w:val="004D25C8"/>
    <w:rsid w:val="004D26D4"/>
    <w:rsid w:val="004D2FFA"/>
    <w:rsid w:val="004D32A9"/>
    <w:rsid w:val="004D3614"/>
    <w:rsid w:val="004D3A83"/>
    <w:rsid w:val="004D3B4D"/>
    <w:rsid w:val="004D3B4E"/>
    <w:rsid w:val="004D477C"/>
    <w:rsid w:val="004D48CD"/>
    <w:rsid w:val="004D4B79"/>
    <w:rsid w:val="004D4E27"/>
    <w:rsid w:val="004D597B"/>
    <w:rsid w:val="004D669E"/>
    <w:rsid w:val="004D69DC"/>
    <w:rsid w:val="004D7687"/>
    <w:rsid w:val="004D7DCC"/>
    <w:rsid w:val="004E0153"/>
    <w:rsid w:val="004E01C9"/>
    <w:rsid w:val="004E08AA"/>
    <w:rsid w:val="004E10E1"/>
    <w:rsid w:val="004E1261"/>
    <w:rsid w:val="004E18E9"/>
    <w:rsid w:val="004E18F2"/>
    <w:rsid w:val="004E22C5"/>
    <w:rsid w:val="004E28B0"/>
    <w:rsid w:val="004E2C0A"/>
    <w:rsid w:val="004E3D36"/>
    <w:rsid w:val="004E3D37"/>
    <w:rsid w:val="004E4C34"/>
    <w:rsid w:val="004E5235"/>
    <w:rsid w:val="004E5948"/>
    <w:rsid w:val="004E5D00"/>
    <w:rsid w:val="004E5F47"/>
    <w:rsid w:val="004E6FCB"/>
    <w:rsid w:val="004E70CD"/>
    <w:rsid w:val="004E7AD9"/>
    <w:rsid w:val="004F00EF"/>
    <w:rsid w:val="004F03C2"/>
    <w:rsid w:val="004F0B68"/>
    <w:rsid w:val="004F0BA8"/>
    <w:rsid w:val="004F1DE2"/>
    <w:rsid w:val="004F290A"/>
    <w:rsid w:val="004F2D82"/>
    <w:rsid w:val="004F3154"/>
    <w:rsid w:val="004F3906"/>
    <w:rsid w:val="004F39BE"/>
    <w:rsid w:val="004F3AF8"/>
    <w:rsid w:val="004F3B95"/>
    <w:rsid w:val="004F42D0"/>
    <w:rsid w:val="004F44E7"/>
    <w:rsid w:val="004F4769"/>
    <w:rsid w:val="004F4904"/>
    <w:rsid w:val="004F49C2"/>
    <w:rsid w:val="004F523D"/>
    <w:rsid w:val="004F5423"/>
    <w:rsid w:val="004F575C"/>
    <w:rsid w:val="004F5A39"/>
    <w:rsid w:val="004F5AB0"/>
    <w:rsid w:val="004F6190"/>
    <w:rsid w:val="004F61B7"/>
    <w:rsid w:val="004F71DC"/>
    <w:rsid w:val="004F7429"/>
    <w:rsid w:val="004F7780"/>
    <w:rsid w:val="004F7FE6"/>
    <w:rsid w:val="0050094C"/>
    <w:rsid w:val="00500B5E"/>
    <w:rsid w:val="00500CB6"/>
    <w:rsid w:val="005021C5"/>
    <w:rsid w:val="00502FA5"/>
    <w:rsid w:val="0050437B"/>
    <w:rsid w:val="00504786"/>
    <w:rsid w:val="00505A20"/>
    <w:rsid w:val="00506C5A"/>
    <w:rsid w:val="00506EFE"/>
    <w:rsid w:val="005070F7"/>
    <w:rsid w:val="0050724A"/>
    <w:rsid w:val="00507757"/>
    <w:rsid w:val="005100A5"/>
    <w:rsid w:val="00510841"/>
    <w:rsid w:val="00510F99"/>
    <w:rsid w:val="00511244"/>
    <w:rsid w:val="005114A5"/>
    <w:rsid w:val="00512139"/>
    <w:rsid w:val="00512459"/>
    <w:rsid w:val="0051293A"/>
    <w:rsid w:val="00513D34"/>
    <w:rsid w:val="00514318"/>
    <w:rsid w:val="00515027"/>
    <w:rsid w:val="0051519F"/>
    <w:rsid w:val="0051579F"/>
    <w:rsid w:val="0051582D"/>
    <w:rsid w:val="00515D90"/>
    <w:rsid w:val="00516A45"/>
    <w:rsid w:val="00516AA4"/>
    <w:rsid w:val="00516C93"/>
    <w:rsid w:val="00516E88"/>
    <w:rsid w:val="00516F11"/>
    <w:rsid w:val="005172D4"/>
    <w:rsid w:val="00517A7E"/>
    <w:rsid w:val="00520310"/>
    <w:rsid w:val="00520724"/>
    <w:rsid w:val="005207C1"/>
    <w:rsid w:val="005207E6"/>
    <w:rsid w:val="00520F62"/>
    <w:rsid w:val="00521022"/>
    <w:rsid w:val="00521172"/>
    <w:rsid w:val="00522545"/>
    <w:rsid w:val="00522F51"/>
    <w:rsid w:val="0052338B"/>
    <w:rsid w:val="00523BA5"/>
    <w:rsid w:val="00523C62"/>
    <w:rsid w:val="00523F7D"/>
    <w:rsid w:val="0052463E"/>
    <w:rsid w:val="00524A8D"/>
    <w:rsid w:val="00524C69"/>
    <w:rsid w:val="00524EC4"/>
    <w:rsid w:val="005250CB"/>
    <w:rsid w:val="00525AA5"/>
    <w:rsid w:val="00525DD8"/>
    <w:rsid w:val="00526A46"/>
    <w:rsid w:val="005301C1"/>
    <w:rsid w:val="00530BA1"/>
    <w:rsid w:val="005324EF"/>
    <w:rsid w:val="005325BF"/>
    <w:rsid w:val="00532751"/>
    <w:rsid w:val="005329DE"/>
    <w:rsid w:val="005338BF"/>
    <w:rsid w:val="00533B0D"/>
    <w:rsid w:val="00534508"/>
    <w:rsid w:val="005350CF"/>
    <w:rsid w:val="00535ADD"/>
    <w:rsid w:val="00536240"/>
    <w:rsid w:val="005367E8"/>
    <w:rsid w:val="0053698E"/>
    <w:rsid w:val="005371B0"/>
    <w:rsid w:val="005372AA"/>
    <w:rsid w:val="0053734F"/>
    <w:rsid w:val="00537782"/>
    <w:rsid w:val="00537878"/>
    <w:rsid w:val="005379DF"/>
    <w:rsid w:val="00537B0C"/>
    <w:rsid w:val="00540204"/>
    <w:rsid w:val="00540631"/>
    <w:rsid w:val="00540684"/>
    <w:rsid w:val="005406FA"/>
    <w:rsid w:val="005417A0"/>
    <w:rsid w:val="00541CDC"/>
    <w:rsid w:val="005421C2"/>
    <w:rsid w:val="00542ABE"/>
    <w:rsid w:val="00542F35"/>
    <w:rsid w:val="0054363A"/>
    <w:rsid w:val="005437DB"/>
    <w:rsid w:val="00543DF5"/>
    <w:rsid w:val="005448A5"/>
    <w:rsid w:val="00544F92"/>
    <w:rsid w:val="0054518F"/>
    <w:rsid w:val="00546DBD"/>
    <w:rsid w:val="0054712C"/>
    <w:rsid w:val="00550218"/>
    <w:rsid w:val="00550617"/>
    <w:rsid w:val="0055063E"/>
    <w:rsid w:val="00551C32"/>
    <w:rsid w:val="00551E01"/>
    <w:rsid w:val="00551F4B"/>
    <w:rsid w:val="00552C43"/>
    <w:rsid w:val="0055321F"/>
    <w:rsid w:val="005538CF"/>
    <w:rsid w:val="005544DF"/>
    <w:rsid w:val="00555960"/>
    <w:rsid w:val="00556048"/>
    <w:rsid w:val="0055606E"/>
    <w:rsid w:val="005564EA"/>
    <w:rsid w:val="0055662A"/>
    <w:rsid w:val="0055750D"/>
    <w:rsid w:val="00557688"/>
    <w:rsid w:val="00557C57"/>
    <w:rsid w:val="00557FA7"/>
    <w:rsid w:val="00560098"/>
    <w:rsid w:val="00561077"/>
    <w:rsid w:val="0056151C"/>
    <w:rsid w:val="00562571"/>
    <w:rsid w:val="00562682"/>
    <w:rsid w:val="00562A05"/>
    <w:rsid w:val="00562D6E"/>
    <w:rsid w:val="00562DFB"/>
    <w:rsid w:val="0056322F"/>
    <w:rsid w:val="0056330D"/>
    <w:rsid w:val="0056355F"/>
    <w:rsid w:val="00563FD9"/>
    <w:rsid w:val="0056417D"/>
    <w:rsid w:val="005648E3"/>
    <w:rsid w:val="00564A6C"/>
    <w:rsid w:val="00564C83"/>
    <w:rsid w:val="0056541F"/>
    <w:rsid w:val="0056572D"/>
    <w:rsid w:val="005657C5"/>
    <w:rsid w:val="0056597D"/>
    <w:rsid w:val="005659B7"/>
    <w:rsid w:val="00565D07"/>
    <w:rsid w:val="005660A3"/>
    <w:rsid w:val="0056725D"/>
    <w:rsid w:val="00567976"/>
    <w:rsid w:val="00570219"/>
    <w:rsid w:val="0057123F"/>
    <w:rsid w:val="005716AA"/>
    <w:rsid w:val="00572170"/>
    <w:rsid w:val="005721FE"/>
    <w:rsid w:val="00572BCF"/>
    <w:rsid w:val="005734F6"/>
    <w:rsid w:val="00573BBD"/>
    <w:rsid w:val="00573CF5"/>
    <w:rsid w:val="005741F7"/>
    <w:rsid w:val="00574686"/>
    <w:rsid w:val="00575E90"/>
    <w:rsid w:val="00576158"/>
    <w:rsid w:val="005763D6"/>
    <w:rsid w:val="00576550"/>
    <w:rsid w:val="00576755"/>
    <w:rsid w:val="00576A68"/>
    <w:rsid w:val="00576CCF"/>
    <w:rsid w:val="005772ED"/>
    <w:rsid w:val="00577433"/>
    <w:rsid w:val="00577ACD"/>
    <w:rsid w:val="00580543"/>
    <w:rsid w:val="005807EF"/>
    <w:rsid w:val="005813BA"/>
    <w:rsid w:val="00581B74"/>
    <w:rsid w:val="0058268D"/>
    <w:rsid w:val="00582755"/>
    <w:rsid w:val="0058454E"/>
    <w:rsid w:val="005845B3"/>
    <w:rsid w:val="00584629"/>
    <w:rsid w:val="005847ED"/>
    <w:rsid w:val="00585073"/>
    <w:rsid w:val="0058556F"/>
    <w:rsid w:val="00585951"/>
    <w:rsid w:val="00585DDB"/>
    <w:rsid w:val="00586852"/>
    <w:rsid w:val="005877BA"/>
    <w:rsid w:val="00587BD1"/>
    <w:rsid w:val="00587F3D"/>
    <w:rsid w:val="0059027D"/>
    <w:rsid w:val="0059065E"/>
    <w:rsid w:val="005912F5"/>
    <w:rsid w:val="00591EA3"/>
    <w:rsid w:val="00592442"/>
    <w:rsid w:val="00592729"/>
    <w:rsid w:val="00592D59"/>
    <w:rsid w:val="005936BB"/>
    <w:rsid w:val="005936F1"/>
    <w:rsid w:val="0059390D"/>
    <w:rsid w:val="00594535"/>
    <w:rsid w:val="00594C51"/>
    <w:rsid w:val="00594FE6"/>
    <w:rsid w:val="005959F0"/>
    <w:rsid w:val="0059608A"/>
    <w:rsid w:val="005962F1"/>
    <w:rsid w:val="00596AFF"/>
    <w:rsid w:val="005A0A63"/>
    <w:rsid w:val="005A0ED4"/>
    <w:rsid w:val="005A107F"/>
    <w:rsid w:val="005A1669"/>
    <w:rsid w:val="005A1E32"/>
    <w:rsid w:val="005A2917"/>
    <w:rsid w:val="005A31E3"/>
    <w:rsid w:val="005A33B7"/>
    <w:rsid w:val="005A403E"/>
    <w:rsid w:val="005A45C4"/>
    <w:rsid w:val="005A47AC"/>
    <w:rsid w:val="005A4C9E"/>
    <w:rsid w:val="005A6554"/>
    <w:rsid w:val="005A79F9"/>
    <w:rsid w:val="005B049C"/>
    <w:rsid w:val="005B0EB7"/>
    <w:rsid w:val="005B191E"/>
    <w:rsid w:val="005B19DF"/>
    <w:rsid w:val="005B1DD4"/>
    <w:rsid w:val="005B3819"/>
    <w:rsid w:val="005B46AC"/>
    <w:rsid w:val="005B501B"/>
    <w:rsid w:val="005B538E"/>
    <w:rsid w:val="005B67DA"/>
    <w:rsid w:val="005B70F0"/>
    <w:rsid w:val="005B7512"/>
    <w:rsid w:val="005B7D70"/>
    <w:rsid w:val="005C086B"/>
    <w:rsid w:val="005C09D1"/>
    <w:rsid w:val="005C0FCE"/>
    <w:rsid w:val="005C194D"/>
    <w:rsid w:val="005C1F36"/>
    <w:rsid w:val="005C248C"/>
    <w:rsid w:val="005C25A6"/>
    <w:rsid w:val="005C2A69"/>
    <w:rsid w:val="005C377E"/>
    <w:rsid w:val="005C41CE"/>
    <w:rsid w:val="005C4685"/>
    <w:rsid w:val="005C4708"/>
    <w:rsid w:val="005C4E65"/>
    <w:rsid w:val="005C6424"/>
    <w:rsid w:val="005C669C"/>
    <w:rsid w:val="005C6714"/>
    <w:rsid w:val="005C68A5"/>
    <w:rsid w:val="005C6EE7"/>
    <w:rsid w:val="005C7B43"/>
    <w:rsid w:val="005D06F7"/>
    <w:rsid w:val="005D0712"/>
    <w:rsid w:val="005D0AEE"/>
    <w:rsid w:val="005D133F"/>
    <w:rsid w:val="005D19C1"/>
    <w:rsid w:val="005D1D4D"/>
    <w:rsid w:val="005D1EF4"/>
    <w:rsid w:val="005D2140"/>
    <w:rsid w:val="005D2CDA"/>
    <w:rsid w:val="005D2CF3"/>
    <w:rsid w:val="005D338B"/>
    <w:rsid w:val="005D3A73"/>
    <w:rsid w:val="005D50B0"/>
    <w:rsid w:val="005D5335"/>
    <w:rsid w:val="005D5A23"/>
    <w:rsid w:val="005D5F6F"/>
    <w:rsid w:val="005D61E7"/>
    <w:rsid w:val="005D64F6"/>
    <w:rsid w:val="005D74D2"/>
    <w:rsid w:val="005D7A4B"/>
    <w:rsid w:val="005E0E27"/>
    <w:rsid w:val="005E100E"/>
    <w:rsid w:val="005E1063"/>
    <w:rsid w:val="005E1163"/>
    <w:rsid w:val="005E18EC"/>
    <w:rsid w:val="005E1E55"/>
    <w:rsid w:val="005E237E"/>
    <w:rsid w:val="005E2D78"/>
    <w:rsid w:val="005E2F59"/>
    <w:rsid w:val="005E36B1"/>
    <w:rsid w:val="005E3FCB"/>
    <w:rsid w:val="005E51E1"/>
    <w:rsid w:val="005E5AE6"/>
    <w:rsid w:val="005E68AD"/>
    <w:rsid w:val="005E6C21"/>
    <w:rsid w:val="005E72FF"/>
    <w:rsid w:val="005E7CE5"/>
    <w:rsid w:val="005F04E9"/>
    <w:rsid w:val="005F0C91"/>
    <w:rsid w:val="005F0D04"/>
    <w:rsid w:val="005F1129"/>
    <w:rsid w:val="005F1423"/>
    <w:rsid w:val="005F17E9"/>
    <w:rsid w:val="005F262A"/>
    <w:rsid w:val="005F2B17"/>
    <w:rsid w:val="005F2B91"/>
    <w:rsid w:val="005F2C01"/>
    <w:rsid w:val="005F2D74"/>
    <w:rsid w:val="005F2F4A"/>
    <w:rsid w:val="005F3086"/>
    <w:rsid w:val="005F3419"/>
    <w:rsid w:val="005F38D3"/>
    <w:rsid w:val="005F3B70"/>
    <w:rsid w:val="005F3B8E"/>
    <w:rsid w:val="005F42AC"/>
    <w:rsid w:val="005F4CD7"/>
    <w:rsid w:val="005F593D"/>
    <w:rsid w:val="005F5D0B"/>
    <w:rsid w:val="005F5E75"/>
    <w:rsid w:val="005F6536"/>
    <w:rsid w:val="005F6F97"/>
    <w:rsid w:val="005F71AF"/>
    <w:rsid w:val="005F72E2"/>
    <w:rsid w:val="005F7775"/>
    <w:rsid w:val="005F7FCF"/>
    <w:rsid w:val="00600CED"/>
    <w:rsid w:val="00600E3F"/>
    <w:rsid w:val="00600F55"/>
    <w:rsid w:val="00601221"/>
    <w:rsid w:val="00601480"/>
    <w:rsid w:val="00601A74"/>
    <w:rsid w:val="00601AE0"/>
    <w:rsid w:val="006020FE"/>
    <w:rsid w:val="00603373"/>
    <w:rsid w:val="0060417B"/>
    <w:rsid w:val="006049D3"/>
    <w:rsid w:val="00604C27"/>
    <w:rsid w:val="00604F63"/>
    <w:rsid w:val="006057BD"/>
    <w:rsid w:val="00605C75"/>
    <w:rsid w:val="0060669B"/>
    <w:rsid w:val="006069C0"/>
    <w:rsid w:val="00607106"/>
    <w:rsid w:val="00607617"/>
    <w:rsid w:val="0061028D"/>
    <w:rsid w:val="0061054D"/>
    <w:rsid w:val="0061081C"/>
    <w:rsid w:val="00610C46"/>
    <w:rsid w:val="00610C76"/>
    <w:rsid w:val="006115FC"/>
    <w:rsid w:val="0061165F"/>
    <w:rsid w:val="00612213"/>
    <w:rsid w:val="00612278"/>
    <w:rsid w:val="00612AF2"/>
    <w:rsid w:val="0061479D"/>
    <w:rsid w:val="00614C2B"/>
    <w:rsid w:val="00614E72"/>
    <w:rsid w:val="0061518C"/>
    <w:rsid w:val="00615709"/>
    <w:rsid w:val="00616C1E"/>
    <w:rsid w:val="00616D6D"/>
    <w:rsid w:val="00616F2F"/>
    <w:rsid w:val="00616FC7"/>
    <w:rsid w:val="0061705F"/>
    <w:rsid w:val="00617716"/>
    <w:rsid w:val="00617C88"/>
    <w:rsid w:val="00617E14"/>
    <w:rsid w:val="00620B92"/>
    <w:rsid w:val="00620D81"/>
    <w:rsid w:val="006210DF"/>
    <w:rsid w:val="00621830"/>
    <w:rsid w:val="00621D38"/>
    <w:rsid w:val="00622C25"/>
    <w:rsid w:val="00622D4E"/>
    <w:rsid w:val="00622EDC"/>
    <w:rsid w:val="00624172"/>
    <w:rsid w:val="0062494F"/>
    <w:rsid w:val="006252EF"/>
    <w:rsid w:val="006255C1"/>
    <w:rsid w:val="00625DB4"/>
    <w:rsid w:val="00625FEB"/>
    <w:rsid w:val="00627E8A"/>
    <w:rsid w:val="00627FAD"/>
    <w:rsid w:val="00630E17"/>
    <w:rsid w:val="00631A62"/>
    <w:rsid w:val="0063272F"/>
    <w:rsid w:val="00632B3F"/>
    <w:rsid w:val="00632D83"/>
    <w:rsid w:val="00633136"/>
    <w:rsid w:val="00633ECD"/>
    <w:rsid w:val="00634765"/>
    <w:rsid w:val="0063479F"/>
    <w:rsid w:val="00634A83"/>
    <w:rsid w:val="00634AE3"/>
    <w:rsid w:val="00634C51"/>
    <w:rsid w:val="00634EF4"/>
    <w:rsid w:val="00634F41"/>
    <w:rsid w:val="00634FBF"/>
    <w:rsid w:val="00635046"/>
    <w:rsid w:val="00636323"/>
    <w:rsid w:val="00636FB4"/>
    <w:rsid w:val="006370C2"/>
    <w:rsid w:val="00637490"/>
    <w:rsid w:val="00637B82"/>
    <w:rsid w:val="00637C72"/>
    <w:rsid w:val="0064042F"/>
    <w:rsid w:val="00641392"/>
    <w:rsid w:val="00641674"/>
    <w:rsid w:val="0064174D"/>
    <w:rsid w:val="0064206B"/>
    <w:rsid w:val="006427DC"/>
    <w:rsid w:val="00642B47"/>
    <w:rsid w:val="00643050"/>
    <w:rsid w:val="00643520"/>
    <w:rsid w:val="00643A84"/>
    <w:rsid w:val="00644205"/>
    <w:rsid w:val="006443A1"/>
    <w:rsid w:val="006443F8"/>
    <w:rsid w:val="0064479A"/>
    <w:rsid w:val="00645113"/>
    <w:rsid w:val="00645469"/>
    <w:rsid w:val="00645BD6"/>
    <w:rsid w:val="00645D53"/>
    <w:rsid w:val="00646858"/>
    <w:rsid w:val="00646D16"/>
    <w:rsid w:val="00647F1E"/>
    <w:rsid w:val="00647F97"/>
    <w:rsid w:val="006518D5"/>
    <w:rsid w:val="00651BB1"/>
    <w:rsid w:val="00651D85"/>
    <w:rsid w:val="00651FF0"/>
    <w:rsid w:val="0065241A"/>
    <w:rsid w:val="0065265F"/>
    <w:rsid w:val="00653007"/>
    <w:rsid w:val="00653090"/>
    <w:rsid w:val="006531A4"/>
    <w:rsid w:val="006537CC"/>
    <w:rsid w:val="00654CCB"/>
    <w:rsid w:val="006556FA"/>
    <w:rsid w:val="00655943"/>
    <w:rsid w:val="00655F4D"/>
    <w:rsid w:val="0065692A"/>
    <w:rsid w:val="00656D0D"/>
    <w:rsid w:val="00656E58"/>
    <w:rsid w:val="0065701C"/>
    <w:rsid w:val="00657833"/>
    <w:rsid w:val="006578BF"/>
    <w:rsid w:val="00657AAB"/>
    <w:rsid w:val="00660554"/>
    <w:rsid w:val="0066096C"/>
    <w:rsid w:val="00661268"/>
    <w:rsid w:val="006612D7"/>
    <w:rsid w:val="00661911"/>
    <w:rsid w:val="00662886"/>
    <w:rsid w:val="00662C9A"/>
    <w:rsid w:val="00662EED"/>
    <w:rsid w:val="0066357C"/>
    <w:rsid w:val="00664BD1"/>
    <w:rsid w:val="00664BE2"/>
    <w:rsid w:val="00664EDD"/>
    <w:rsid w:val="006655CB"/>
    <w:rsid w:val="00665E39"/>
    <w:rsid w:val="00670117"/>
    <w:rsid w:val="006721E1"/>
    <w:rsid w:val="00672816"/>
    <w:rsid w:val="00672BFB"/>
    <w:rsid w:val="00672D54"/>
    <w:rsid w:val="00672E0E"/>
    <w:rsid w:val="006733DB"/>
    <w:rsid w:val="00673D7D"/>
    <w:rsid w:val="006741CC"/>
    <w:rsid w:val="006748E7"/>
    <w:rsid w:val="00674CE7"/>
    <w:rsid w:val="00675DC4"/>
    <w:rsid w:val="006767F0"/>
    <w:rsid w:val="00676E3E"/>
    <w:rsid w:val="00676FEA"/>
    <w:rsid w:val="00677364"/>
    <w:rsid w:val="006777BF"/>
    <w:rsid w:val="00677827"/>
    <w:rsid w:val="00677C31"/>
    <w:rsid w:val="00677FA4"/>
    <w:rsid w:val="00680225"/>
    <w:rsid w:val="006802BA"/>
    <w:rsid w:val="00680B65"/>
    <w:rsid w:val="00680BC1"/>
    <w:rsid w:val="0068115B"/>
    <w:rsid w:val="00681859"/>
    <w:rsid w:val="00682756"/>
    <w:rsid w:val="006828A4"/>
    <w:rsid w:val="006830CE"/>
    <w:rsid w:val="006832EA"/>
    <w:rsid w:val="006838E7"/>
    <w:rsid w:val="00683A43"/>
    <w:rsid w:val="00684104"/>
    <w:rsid w:val="006842E1"/>
    <w:rsid w:val="00684679"/>
    <w:rsid w:val="0068492E"/>
    <w:rsid w:val="00684AD9"/>
    <w:rsid w:val="00684D46"/>
    <w:rsid w:val="006859B0"/>
    <w:rsid w:val="00686349"/>
    <w:rsid w:val="006866B8"/>
    <w:rsid w:val="00686983"/>
    <w:rsid w:val="006871B4"/>
    <w:rsid w:val="00687F8A"/>
    <w:rsid w:val="0069035A"/>
    <w:rsid w:val="006903E9"/>
    <w:rsid w:val="00690AFC"/>
    <w:rsid w:val="00690EAE"/>
    <w:rsid w:val="0069166D"/>
    <w:rsid w:val="00692779"/>
    <w:rsid w:val="00692F67"/>
    <w:rsid w:val="0069328F"/>
    <w:rsid w:val="0069394D"/>
    <w:rsid w:val="006946DE"/>
    <w:rsid w:val="006964DA"/>
    <w:rsid w:val="00696768"/>
    <w:rsid w:val="00696E82"/>
    <w:rsid w:val="0069709F"/>
    <w:rsid w:val="006A03B3"/>
    <w:rsid w:val="006A05BD"/>
    <w:rsid w:val="006A1270"/>
    <w:rsid w:val="006A1C38"/>
    <w:rsid w:val="006A1E91"/>
    <w:rsid w:val="006A27A2"/>
    <w:rsid w:val="006A3313"/>
    <w:rsid w:val="006A367C"/>
    <w:rsid w:val="006A3964"/>
    <w:rsid w:val="006A3B54"/>
    <w:rsid w:val="006A3FBA"/>
    <w:rsid w:val="006A4549"/>
    <w:rsid w:val="006A4C13"/>
    <w:rsid w:val="006A51FD"/>
    <w:rsid w:val="006A5F34"/>
    <w:rsid w:val="006A6304"/>
    <w:rsid w:val="006A643B"/>
    <w:rsid w:val="006B064E"/>
    <w:rsid w:val="006B0821"/>
    <w:rsid w:val="006B08E9"/>
    <w:rsid w:val="006B0F32"/>
    <w:rsid w:val="006B1844"/>
    <w:rsid w:val="006B256C"/>
    <w:rsid w:val="006B294D"/>
    <w:rsid w:val="006B2D02"/>
    <w:rsid w:val="006B2D4D"/>
    <w:rsid w:val="006B2FA7"/>
    <w:rsid w:val="006B36DC"/>
    <w:rsid w:val="006B3A5D"/>
    <w:rsid w:val="006B4035"/>
    <w:rsid w:val="006B403D"/>
    <w:rsid w:val="006B442D"/>
    <w:rsid w:val="006B4A70"/>
    <w:rsid w:val="006B60D5"/>
    <w:rsid w:val="006B6724"/>
    <w:rsid w:val="006B6CB0"/>
    <w:rsid w:val="006B6D77"/>
    <w:rsid w:val="006B7103"/>
    <w:rsid w:val="006B780D"/>
    <w:rsid w:val="006C142E"/>
    <w:rsid w:val="006C1A23"/>
    <w:rsid w:val="006C2226"/>
    <w:rsid w:val="006C28CC"/>
    <w:rsid w:val="006C3A0A"/>
    <w:rsid w:val="006C4071"/>
    <w:rsid w:val="006C425A"/>
    <w:rsid w:val="006C4F75"/>
    <w:rsid w:val="006C64F7"/>
    <w:rsid w:val="006C6B1D"/>
    <w:rsid w:val="006C723B"/>
    <w:rsid w:val="006C7DE6"/>
    <w:rsid w:val="006D00AF"/>
    <w:rsid w:val="006D035A"/>
    <w:rsid w:val="006D0557"/>
    <w:rsid w:val="006D09F1"/>
    <w:rsid w:val="006D16C8"/>
    <w:rsid w:val="006D1E2E"/>
    <w:rsid w:val="006D21EC"/>
    <w:rsid w:val="006D21ED"/>
    <w:rsid w:val="006D26A8"/>
    <w:rsid w:val="006D2AE2"/>
    <w:rsid w:val="006D33CF"/>
    <w:rsid w:val="006D3814"/>
    <w:rsid w:val="006D389C"/>
    <w:rsid w:val="006D466B"/>
    <w:rsid w:val="006D55A7"/>
    <w:rsid w:val="006D55D1"/>
    <w:rsid w:val="006D580A"/>
    <w:rsid w:val="006D5852"/>
    <w:rsid w:val="006D5937"/>
    <w:rsid w:val="006D651A"/>
    <w:rsid w:val="006D7BEE"/>
    <w:rsid w:val="006D7D2A"/>
    <w:rsid w:val="006E006D"/>
    <w:rsid w:val="006E0773"/>
    <w:rsid w:val="006E0805"/>
    <w:rsid w:val="006E0BE5"/>
    <w:rsid w:val="006E106A"/>
    <w:rsid w:val="006E1666"/>
    <w:rsid w:val="006E1798"/>
    <w:rsid w:val="006E2037"/>
    <w:rsid w:val="006E2124"/>
    <w:rsid w:val="006E2736"/>
    <w:rsid w:val="006E2750"/>
    <w:rsid w:val="006E2E7C"/>
    <w:rsid w:val="006E330E"/>
    <w:rsid w:val="006E33E8"/>
    <w:rsid w:val="006E33F2"/>
    <w:rsid w:val="006E3ADE"/>
    <w:rsid w:val="006E4D7C"/>
    <w:rsid w:val="006E61DB"/>
    <w:rsid w:val="006E6679"/>
    <w:rsid w:val="006E7CA1"/>
    <w:rsid w:val="006F0864"/>
    <w:rsid w:val="006F0FB9"/>
    <w:rsid w:val="006F157F"/>
    <w:rsid w:val="006F1EFC"/>
    <w:rsid w:val="006F23AD"/>
    <w:rsid w:val="006F2DB2"/>
    <w:rsid w:val="006F3260"/>
    <w:rsid w:val="006F392B"/>
    <w:rsid w:val="006F3D43"/>
    <w:rsid w:val="006F45AE"/>
    <w:rsid w:val="006F4A86"/>
    <w:rsid w:val="006F4CFD"/>
    <w:rsid w:val="006F60CD"/>
    <w:rsid w:val="006F680D"/>
    <w:rsid w:val="006F6F62"/>
    <w:rsid w:val="006F7119"/>
    <w:rsid w:val="006F714E"/>
    <w:rsid w:val="006F7A4A"/>
    <w:rsid w:val="006F7E9B"/>
    <w:rsid w:val="007004BD"/>
    <w:rsid w:val="0070068F"/>
    <w:rsid w:val="00700E3F"/>
    <w:rsid w:val="00700F5D"/>
    <w:rsid w:val="007011B3"/>
    <w:rsid w:val="00701287"/>
    <w:rsid w:val="00702090"/>
    <w:rsid w:val="007020B7"/>
    <w:rsid w:val="00703758"/>
    <w:rsid w:val="00703D1F"/>
    <w:rsid w:val="00704DF6"/>
    <w:rsid w:val="0070508C"/>
    <w:rsid w:val="007052FC"/>
    <w:rsid w:val="00705A30"/>
    <w:rsid w:val="00705B14"/>
    <w:rsid w:val="00705DCC"/>
    <w:rsid w:val="00706823"/>
    <w:rsid w:val="00706939"/>
    <w:rsid w:val="00706961"/>
    <w:rsid w:val="00706DD7"/>
    <w:rsid w:val="007071FB"/>
    <w:rsid w:val="00707524"/>
    <w:rsid w:val="00707647"/>
    <w:rsid w:val="00710152"/>
    <w:rsid w:val="00710B78"/>
    <w:rsid w:val="007124E6"/>
    <w:rsid w:val="007125BC"/>
    <w:rsid w:val="00713FEF"/>
    <w:rsid w:val="007140F6"/>
    <w:rsid w:val="00714FA8"/>
    <w:rsid w:val="00715119"/>
    <w:rsid w:val="0071518E"/>
    <w:rsid w:val="00715910"/>
    <w:rsid w:val="00715A0A"/>
    <w:rsid w:val="0071620A"/>
    <w:rsid w:val="00716210"/>
    <w:rsid w:val="00716658"/>
    <w:rsid w:val="007167F6"/>
    <w:rsid w:val="00716DB8"/>
    <w:rsid w:val="007204D5"/>
    <w:rsid w:val="00720D4A"/>
    <w:rsid w:val="00720E64"/>
    <w:rsid w:val="00721375"/>
    <w:rsid w:val="007215C8"/>
    <w:rsid w:val="007219CA"/>
    <w:rsid w:val="0072242F"/>
    <w:rsid w:val="00722635"/>
    <w:rsid w:val="00722A44"/>
    <w:rsid w:val="007230B4"/>
    <w:rsid w:val="007243EF"/>
    <w:rsid w:val="007245B2"/>
    <w:rsid w:val="00724D72"/>
    <w:rsid w:val="00724F8B"/>
    <w:rsid w:val="007259D2"/>
    <w:rsid w:val="00725A16"/>
    <w:rsid w:val="007266D4"/>
    <w:rsid w:val="0072677E"/>
    <w:rsid w:val="0072693C"/>
    <w:rsid w:val="00726AAF"/>
    <w:rsid w:val="00726ED8"/>
    <w:rsid w:val="00727436"/>
    <w:rsid w:val="00727AE0"/>
    <w:rsid w:val="00727C1C"/>
    <w:rsid w:val="007302A9"/>
    <w:rsid w:val="00730CCD"/>
    <w:rsid w:val="00730DD9"/>
    <w:rsid w:val="00730F2B"/>
    <w:rsid w:val="007311D7"/>
    <w:rsid w:val="00731556"/>
    <w:rsid w:val="00731F74"/>
    <w:rsid w:val="007329F0"/>
    <w:rsid w:val="0073317D"/>
    <w:rsid w:val="0073327F"/>
    <w:rsid w:val="007333B8"/>
    <w:rsid w:val="00734651"/>
    <w:rsid w:val="00734881"/>
    <w:rsid w:val="00734E11"/>
    <w:rsid w:val="007351B8"/>
    <w:rsid w:val="00735250"/>
    <w:rsid w:val="00735AA0"/>
    <w:rsid w:val="00735C3B"/>
    <w:rsid w:val="007369E6"/>
    <w:rsid w:val="0073701E"/>
    <w:rsid w:val="007371EE"/>
    <w:rsid w:val="007372BE"/>
    <w:rsid w:val="007375CA"/>
    <w:rsid w:val="007375E6"/>
    <w:rsid w:val="00740DF9"/>
    <w:rsid w:val="007412D5"/>
    <w:rsid w:val="007414EF"/>
    <w:rsid w:val="007434EF"/>
    <w:rsid w:val="007439C8"/>
    <w:rsid w:val="00744002"/>
    <w:rsid w:val="00744566"/>
    <w:rsid w:val="00744E1C"/>
    <w:rsid w:val="00745549"/>
    <w:rsid w:val="007459E7"/>
    <w:rsid w:val="00745A04"/>
    <w:rsid w:val="00745CD0"/>
    <w:rsid w:val="00746385"/>
    <w:rsid w:val="007464C4"/>
    <w:rsid w:val="00746CB0"/>
    <w:rsid w:val="00746DA0"/>
    <w:rsid w:val="00746F5D"/>
    <w:rsid w:val="0074711D"/>
    <w:rsid w:val="0074767C"/>
    <w:rsid w:val="00747F49"/>
    <w:rsid w:val="00750443"/>
    <w:rsid w:val="007509E6"/>
    <w:rsid w:val="00750F6F"/>
    <w:rsid w:val="0075166F"/>
    <w:rsid w:val="0075179D"/>
    <w:rsid w:val="00751C9D"/>
    <w:rsid w:val="0075218F"/>
    <w:rsid w:val="00752AB8"/>
    <w:rsid w:val="00752EBC"/>
    <w:rsid w:val="00753513"/>
    <w:rsid w:val="007538C5"/>
    <w:rsid w:val="00753C2C"/>
    <w:rsid w:val="00754076"/>
    <w:rsid w:val="00754D17"/>
    <w:rsid w:val="00755B0F"/>
    <w:rsid w:val="00755CB3"/>
    <w:rsid w:val="00756064"/>
    <w:rsid w:val="007566F6"/>
    <w:rsid w:val="007567AE"/>
    <w:rsid w:val="007567D0"/>
    <w:rsid w:val="00756943"/>
    <w:rsid w:val="00756F00"/>
    <w:rsid w:val="007570C8"/>
    <w:rsid w:val="007578B3"/>
    <w:rsid w:val="00757A75"/>
    <w:rsid w:val="00757F66"/>
    <w:rsid w:val="00760103"/>
    <w:rsid w:val="00760C8C"/>
    <w:rsid w:val="00760DBE"/>
    <w:rsid w:val="0076106B"/>
    <w:rsid w:val="00761555"/>
    <w:rsid w:val="007617F5"/>
    <w:rsid w:val="00761ABB"/>
    <w:rsid w:val="00761B3A"/>
    <w:rsid w:val="00761D15"/>
    <w:rsid w:val="00761DF4"/>
    <w:rsid w:val="007625C9"/>
    <w:rsid w:val="00762615"/>
    <w:rsid w:val="0076279F"/>
    <w:rsid w:val="00763C31"/>
    <w:rsid w:val="0076419C"/>
    <w:rsid w:val="007643ED"/>
    <w:rsid w:val="00764943"/>
    <w:rsid w:val="00764C80"/>
    <w:rsid w:val="00765288"/>
    <w:rsid w:val="007657B8"/>
    <w:rsid w:val="00765F2F"/>
    <w:rsid w:val="0076628D"/>
    <w:rsid w:val="00767253"/>
    <w:rsid w:val="00767309"/>
    <w:rsid w:val="007675B0"/>
    <w:rsid w:val="007676D6"/>
    <w:rsid w:val="007700E9"/>
    <w:rsid w:val="00770689"/>
    <w:rsid w:val="007706ED"/>
    <w:rsid w:val="00770C2B"/>
    <w:rsid w:val="00771551"/>
    <w:rsid w:val="00771B63"/>
    <w:rsid w:val="007728C1"/>
    <w:rsid w:val="00772B94"/>
    <w:rsid w:val="00772C7C"/>
    <w:rsid w:val="00773319"/>
    <w:rsid w:val="0077375D"/>
    <w:rsid w:val="00774E75"/>
    <w:rsid w:val="007754D7"/>
    <w:rsid w:val="007757C0"/>
    <w:rsid w:val="00776263"/>
    <w:rsid w:val="007767F3"/>
    <w:rsid w:val="00776E20"/>
    <w:rsid w:val="00777069"/>
    <w:rsid w:val="00777303"/>
    <w:rsid w:val="0077737A"/>
    <w:rsid w:val="007777F4"/>
    <w:rsid w:val="00777DE1"/>
    <w:rsid w:val="00777E81"/>
    <w:rsid w:val="00777E8A"/>
    <w:rsid w:val="007805EE"/>
    <w:rsid w:val="00780982"/>
    <w:rsid w:val="00780C1D"/>
    <w:rsid w:val="007810C1"/>
    <w:rsid w:val="0078129C"/>
    <w:rsid w:val="007812AB"/>
    <w:rsid w:val="00781B5F"/>
    <w:rsid w:val="00782105"/>
    <w:rsid w:val="00782402"/>
    <w:rsid w:val="00782DCB"/>
    <w:rsid w:val="007837A2"/>
    <w:rsid w:val="00783AF8"/>
    <w:rsid w:val="00784491"/>
    <w:rsid w:val="00784D7B"/>
    <w:rsid w:val="007852C9"/>
    <w:rsid w:val="00786276"/>
    <w:rsid w:val="007862A9"/>
    <w:rsid w:val="007867D1"/>
    <w:rsid w:val="00786A81"/>
    <w:rsid w:val="00787054"/>
    <w:rsid w:val="007876CB"/>
    <w:rsid w:val="00787B79"/>
    <w:rsid w:val="00790D5C"/>
    <w:rsid w:val="00790F72"/>
    <w:rsid w:val="007924A2"/>
    <w:rsid w:val="0079367F"/>
    <w:rsid w:val="0079406D"/>
    <w:rsid w:val="00794095"/>
    <w:rsid w:val="0079419C"/>
    <w:rsid w:val="007944DA"/>
    <w:rsid w:val="0079472E"/>
    <w:rsid w:val="0079472F"/>
    <w:rsid w:val="00794937"/>
    <w:rsid w:val="007950B4"/>
    <w:rsid w:val="00795649"/>
    <w:rsid w:val="00795810"/>
    <w:rsid w:val="00795D5D"/>
    <w:rsid w:val="00795D72"/>
    <w:rsid w:val="007960C0"/>
    <w:rsid w:val="0079678E"/>
    <w:rsid w:val="007967E9"/>
    <w:rsid w:val="00796E33"/>
    <w:rsid w:val="00796F2B"/>
    <w:rsid w:val="00797154"/>
    <w:rsid w:val="0079752A"/>
    <w:rsid w:val="0079753A"/>
    <w:rsid w:val="007A00EF"/>
    <w:rsid w:val="007A08C4"/>
    <w:rsid w:val="007A1441"/>
    <w:rsid w:val="007A1515"/>
    <w:rsid w:val="007A180C"/>
    <w:rsid w:val="007A1ED5"/>
    <w:rsid w:val="007A281E"/>
    <w:rsid w:val="007A31F6"/>
    <w:rsid w:val="007A347E"/>
    <w:rsid w:val="007A356F"/>
    <w:rsid w:val="007A3696"/>
    <w:rsid w:val="007A3EA0"/>
    <w:rsid w:val="007A476F"/>
    <w:rsid w:val="007A4B50"/>
    <w:rsid w:val="007A4F1F"/>
    <w:rsid w:val="007A6694"/>
    <w:rsid w:val="007A6FCD"/>
    <w:rsid w:val="007A7081"/>
    <w:rsid w:val="007A7550"/>
    <w:rsid w:val="007A7975"/>
    <w:rsid w:val="007A799B"/>
    <w:rsid w:val="007A7BA6"/>
    <w:rsid w:val="007B0554"/>
    <w:rsid w:val="007B06AE"/>
    <w:rsid w:val="007B2534"/>
    <w:rsid w:val="007B32A7"/>
    <w:rsid w:val="007B34C0"/>
    <w:rsid w:val="007B4638"/>
    <w:rsid w:val="007B48C1"/>
    <w:rsid w:val="007B51A5"/>
    <w:rsid w:val="007B5522"/>
    <w:rsid w:val="007B599A"/>
    <w:rsid w:val="007B6815"/>
    <w:rsid w:val="007B75FF"/>
    <w:rsid w:val="007B7A48"/>
    <w:rsid w:val="007C0740"/>
    <w:rsid w:val="007C0D5F"/>
    <w:rsid w:val="007C0F12"/>
    <w:rsid w:val="007C1044"/>
    <w:rsid w:val="007C13CD"/>
    <w:rsid w:val="007C1A96"/>
    <w:rsid w:val="007C236B"/>
    <w:rsid w:val="007C2707"/>
    <w:rsid w:val="007C390E"/>
    <w:rsid w:val="007C39A9"/>
    <w:rsid w:val="007C3A83"/>
    <w:rsid w:val="007C4310"/>
    <w:rsid w:val="007C4E05"/>
    <w:rsid w:val="007C4F74"/>
    <w:rsid w:val="007C57E1"/>
    <w:rsid w:val="007C5DF5"/>
    <w:rsid w:val="007C5F00"/>
    <w:rsid w:val="007C64FF"/>
    <w:rsid w:val="007C652A"/>
    <w:rsid w:val="007C695E"/>
    <w:rsid w:val="007C73A6"/>
    <w:rsid w:val="007C7785"/>
    <w:rsid w:val="007D02D5"/>
    <w:rsid w:val="007D03C1"/>
    <w:rsid w:val="007D0514"/>
    <w:rsid w:val="007D131C"/>
    <w:rsid w:val="007D140C"/>
    <w:rsid w:val="007D16E4"/>
    <w:rsid w:val="007D1A21"/>
    <w:rsid w:val="007D1EA5"/>
    <w:rsid w:val="007D20AF"/>
    <w:rsid w:val="007D22A4"/>
    <w:rsid w:val="007D29EA"/>
    <w:rsid w:val="007D3181"/>
    <w:rsid w:val="007D366F"/>
    <w:rsid w:val="007D3833"/>
    <w:rsid w:val="007D38BA"/>
    <w:rsid w:val="007D3A11"/>
    <w:rsid w:val="007D414B"/>
    <w:rsid w:val="007D41EE"/>
    <w:rsid w:val="007D4D5F"/>
    <w:rsid w:val="007D51E9"/>
    <w:rsid w:val="007D56E5"/>
    <w:rsid w:val="007D5D4B"/>
    <w:rsid w:val="007D5F1A"/>
    <w:rsid w:val="007D657C"/>
    <w:rsid w:val="007D66CA"/>
    <w:rsid w:val="007D691A"/>
    <w:rsid w:val="007D6D0B"/>
    <w:rsid w:val="007D723C"/>
    <w:rsid w:val="007D7867"/>
    <w:rsid w:val="007D790E"/>
    <w:rsid w:val="007D79CC"/>
    <w:rsid w:val="007D7B14"/>
    <w:rsid w:val="007E0002"/>
    <w:rsid w:val="007E0C54"/>
    <w:rsid w:val="007E0DDB"/>
    <w:rsid w:val="007E1250"/>
    <w:rsid w:val="007E1450"/>
    <w:rsid w:val="007E157E"/>
    <w:rsid w:val="007E189A"/>
    <w:rsid w:val="007E3041"/>
    <w:rsid w:val="007E30DF"/>
    <w:rsid w:val="007E3E67"/>
    <w:rsid w:val="007E3E69"/>
    <w:rsid w:val="007E4A76"/>
    <w:rsid w:val="007E4B4D"/>
    <w:rsid w:val="007E516E"/>
    <w:rsid w:val="007E5C46"/>
    <w:rsid w:val="007E5D84"/>
    <w:rsid w:val="007E6182"/>
    <w:rsid w:val="007E6374"/>
    <w:rsid w:val="007E6668"/>
    <w:rsid w:val="007E69A3"/>
    <w:rsid w:val="007E6A73"/>
    <w:rsid w:val="007E6EEE"/>
    <w:rsid w:val="007E72E8"/>
    <w:rsid w:val="007E75A8"/>
    <w:rsid w:val="007E7A51"/>
    <w:rsid w:val="007F015F"/>
    <w:rsid w:val="007F0191"/>
    <w:rsid w:val="007F077D"/>
    <w:rsid w:val="007F0C9E"/>
    <w:rsid w:val="007F1C63"/>
    <w:rsid w:val="007F2482"/>
    <w:rsid w:val="007F3273"/>
    <w:rsid w:val="007F362A"/>
    <w:rsid w:val="007F3826"/>
    <w:rsid w:val="007F3C7D"/>
    <w:rsid w:val="007F4896"/>
    <w:rsid w:val="007F49F2"/>
    <w:rsid w:val="007F50EA"/>
    <w:rsid w:val="007F5E43"/>
    <w:rsid w:val="007F715B"/>
    <w:rsid w:val="008002F2"/>
    <w:rsid w:val="00800368"/>
    <w:rsid w:val="008011AE"/>
    <w:rsid w:val="008011ED"/>
    <w:rsid w:val="00801538"/>
    <w:rsid w:val="008028CB"/>
    <w:rsid w:val="00802B7C"/>
    <w:rsid w:val="00802CAD"/>
    <w:rsid w:val="00803649"/>
    <w:rsid w:val="008038CA"/>
    <w:rsid w:val="008039B6"/>
    <w:rsid w:val="00803E31"/>
    <w:rsid w:val="0080481D"/>
    <w:rsid w:val="008057B6"/>
    <w:rsid w:val="008065DF"/>
    <w:rsid w:val="00806F1C"/>
    <w:rsid w:val="00807909"/>
    <w:rsid w:val="00807EED"/>
    <w:rsid w:val="00810576"/>
    <w:rsid w:val="00810688"/>
    <w:rsid w:val="00810B3D"/>
    <w:rsid w:val="00810D62"/>
    <w:rsid w:val="00811514"/>
    <w:rsid w:val="008117FD"/>
    <w:rsid w:val="00812021"/>
    <w:rsid w:val="008122B7"/>
    <w:rsid w:val="0081287B"/>
    <w:rsid w:val="00812C28"/>
    <w:rsid w:val="00812DF7"/>
    <w:rsid w:val="00813140"/>
    <w:rsid w:val="00813B4C"/>
    <w:rsid w:val="00814953"/>
    <w:rsid w:val="0081519F"/>
    <w:rsid w:val="00815225"/>
    <w:rsid w:val="00816050"/>
    <w:rsid w:val="0081607D"/>
    <w:rsid w:val="00817791"/>
    <w:rsid w:val="00817F27"/>
    <w:rsid w:val="0082106F"/>
    <w:rsid w:val="00821546"/>
    <w:rsid w:val="0082167E"/>
    <w:rsid w:val="008222CD"/>
    <w:rsid w:val="0082367A"/>
    <w:rsid w:val="008237D9"/>
    <w:rsid w:val="00824808"/>
    <w:rsid w:val="00825707"/>
    <w:rsid w:val="00825A18"/>
    <w:rsid w:val="0082606B"/>
    <w:rsid w:val="00827C50"/>
    <w:rsid w:val="00827E26"/>
    <w:rsid w:val="00830217"/>
    <w:rsid w:val="00830CE8"/>
    <w:rsid w:val="00831814"/>
    <w:rsid w:val="00831FAE"/>
    <w:rsid w:val="00832DC2"/>
    <w:rsid w:val="00833921"/>
    <w:rsid w:val="00833FC7"/>
    <w:rsid w:val="00834336"/>
    <w:rsid w:val="00834ADE"/>
    <w:rsid w:val="00835D9A"/>
    <w:rsid w:val="00836092"/>
    <w:rsid w:val="008364E5"/>
    <w:rsid w:val="00836BD4"/>
    <w:rsid w:val="008370AC"/>
    <w:rsid w:val="0083765D"/>
    <w:rsid w:val="00837786"/>
    <w:rsid w:val="00837F66"/>
    <w:rsid w:val="0084030A"/>
    <w:rsid w:val="0084038E"/>
    <w:rsid w:val="0084106A"/>
    <w:rsid w:val="0084144D"/>
    <w:rsid w:val="00841679"/>
    <w:rsid w:val="00841D61"/>
    <w:rsid w:val="0084261A"/>
    <w:rsid w:val="00843258"/>
    <w:rsid w:val="00843406"/>
    <w:rsid w:val="0084396A"/>
    <w:rsid w:val="00844522"/>
    <w:rsid w:val="00844614"/>
    <w:rsid w:val="008446B1"/>
    <w:rsid w:val="008446BC"/>
    <w:rsid w:val="0084598C"/>
    <w:rsid w:val="00846943"/>
    <w:rsid w:val="00846A25"/>
    <w:rsid w:val="00847298"/>
    <w:rsid w:val="00847B1B"/>
    <w:rsid w:val="00850857"/>
    <w:rsid w:val="00850EDD"/>
    <w:rsid w:val="0085165E"/>
    <w:rsid w:val="00851B1B"/>
    <w:rsid w:val="00853DCC"/>
    <w:rsid w:val="00853ECA"/>
    <w:rsid w:val="008542CD"/>
    <w:rsid w:val="00854C6A"/>
    <w:rsid w:val="00854F4B"/>
    <w:rsid w:val="008550C0"/>
    <w:rsid w:val="008556B4"/>
    <w:rsid w:val="008559A1"/>
    <w:rsid w:val="0085635F"/>
    <w:rsid w:val="0085762A"/>
    <w:rsid w:val="00857F93"/>
    <w:rsid w:val="008605E5"/>
    <w:rsid w:val="008606FD"/>
    <w:rsid w:val="00860897"/>
    <w:rsid w:val="00860D7E"/>
    <w:rsid w:val="008610D3"/>
    <w:rsid w:val="008610FD"/>
    <w:rsid w:val="00861BFA"/>
    <w:rsid w:val="00861C09"/>
    <w:rsid w:val="008622BF"/>
    <w:rsid w:val="00862695"/>
    <w:rsid w:val="00862C85"/>
    <w:rsid w:val="008635AE"/>
    <w:rsid w:val="00863A27"/>
    <w:rsid w:val="00863F32"/>
    <w:rsid w:val="00865207"/>
    <w:rsid w:val="008655C2"/>
    <w:rsid w:val="00866056"/>
    <w:rsid w:val="00866BEA"/>
    <w:rsid w:val="00867863"/>
    <w:rsid w:val="00867879"/>
    <w:rsid w:val="00867A8B"/>
    <w:rsid w:val="00867C91"/>
    <w:rsid w:val="00867D6B"/>
    <w:rsid w:val="00867F74"/>
    <w:rsid w:val="00870C1C"/>
    <w:rsid w:val="00870D00"/>
    <w:rsid w:val="008710A7"/>
    <w:rsid w:val="0087126E"/>
    <w:rsid w:val="0087182F"/>
    <w:rsid w:val="008718C2"/>
    <w:rsid w:val="0087283B"/>
    <w:rsid w:val="00872F13"/>
    <w:rsid w:val="00873B00"/>
    <w:rsid w:val="00873C7F"/>
    <w:rsid w:val="00873CA3"/>
    <w:rsid w:val="008747B0"/>
    <w:rsid w:val="00874FAA"/>
    <w:rsid w:val="00875314"/>
    <w:rsid w:val="00875DA3"/>
    <w:rsid w:val="0087626A"/>
    <w:rsid w:val="00877D28"/>
    <w:rsid w:val="00877D42"/>
    <w:rsid w:val="00877D4C"/>
    <w:rsid w:val="00880CC4"/>
    <w:rsid w:val="008810A7"/>
    <w:rsid w:val="00881834"/>
    <w:rsid w:val="00881BAD"/>
    <w:rsid w:val="00881CE4"/>
    <w:rsid w:val="00881D34"/>
    <w:rsid w:val="00881D91"/>
    <w:rsid w:val="00881DA6"/>
    <w:rsid w:val="00882024"/>
    <w:rsid w:val="008825E9"/>
    <w:rsid w:val="00882907"/>
    <w:rsid w:val="00882F2C"/>
    <w:rsid w:val="0088311A"/>
    <w:rsid w:val="008835FE"/>
    <w:rsid w:val="00883720"/>
    <w:rsid w:val="00883E84"/>
    <w:rsid w:val="00884105"/>
    <w:rsid w:val="00884269"/>
    <w:rsid w:val="008847EB"/>
    <w:rsid w:val="00884AFE"/>
    <w:rsid w:val="00885454"/>
    <w:rsid w:val="00885A11"/>
    <w:rsid w:val="008860BF"/>
    <w:rsid w:val="0088715C"/>
    <w:rsid w:val="0089037E"/>
    <w:rsid w:val="00890994"/>
    <w:rsid w:val="00891324"/>
    <w:rsid w:val="00891349"/>
    <w:rsid w:val="0089146A"/>
    <w:rsid w:val="00891AD6"/>
    <w:rsid w:val="008924E3"/>
    <w:rsid w:val="0089308E"/>
    <w:rsid w:val="008932D7"/>
    <w:rsid w:val="008935F5"/>
    <w:rsid w:val="00893600"/>
    <w:rsid w:val="00893EFA"/>
    <w:rsid w:val="00894D46"/>
    <w:rsid w:val="0089602D"/>
    <w:rsid w:val="00896115"/>
    <w:rsid w:val="00896B5A"/>
    <w:rsid w:val="00896BE2"/>
    <w:rsid w:val="008A0D23"/>
    <w:rsid w:val="008A0F79"/>
    <w:rsid w:val="008A151E"/>
    <w:rsid w:val="008A15D0"/>
    <w:rsid w:val="008A2574"/>
    <w:rsid w:val="008A31AF"/>
    <w:rsid w:val="008A34D2"/>
    <w:rsid w:val="008A3A4D"/>
    <w:rsid w:val="008A3CBD"/>
    <w:rsid w:val="008A49EC"/>
    <w:rsid w:val="008A4E88"/>
    <w:rsid w:val="008A581D"/>
    <w:rsid w:val="008A625C"/>
    <w:rsid w:val="008A6300"/>
    <w:rsid w:val="008A6C42"/>
    <w:rsid w:val="008A6C58"/>
    <w:rsid w:val="008A7115"/>
    <w:rsid w:val="008A7267"/>
    <w:rsid w:val="008A7AF5"/>
    <w:rsid w:val="008B0607"/>
    <w:rsid w:val="008B10B3"/>
    <w:rsid w:val="008B1128"/>
    <w:rsid w:val="008B1434"/>
    <w:rsid w:val="008B1EDD"/>
    <w:rsid w:val="008B2323"/>
    <w:rsid w:val="008B2E90"/>
    <w:rsid w:val="008B2FDC"/>
    <w:rsid w:val="008B3981"/>
    <w:rsid w:val="008B3A9D"/>
    <w:rsid w:val="008B4BEE"/>
    <w:rsid w:val="008B5E2F"/>
    <w:rsid w:val="008B764D"/>
    <w:rsid w:val="008B788C"/>
    <w:rsid w:val="008C0120"/>
    <w:rsid w:val="008C0CDC"/>
    <w:rsid w:val="008C0D2A"/>
    <w:rsid w:val="008C11D2"/>
    <w:rsid w:val="008C1439"/>
    <w:rsid w:val="008C198D"/>
    <w:rsid w:val="008C20B8"/>
    <w:rsid w:val="008C2757"/>
    <w:rsid w:val="008C3114"/>
    <w:rsid w:val="008C4292"/>
    <w:rsid w:val="008C4376"/>
    <w:rsid w:val="008C48A9"/>
    <w:rsid w:val="008C4BA7"/>
    <w:rsid w:val="008C4F3A"/>
    <w:rsid w:val="008C4F6A"/>
    <w:rsid w:val="008C5400"/>
    <w:rsid w:val="008C59F9"/>
    <w:rsid w:val="008C5AEB"/>
    <w:rsid w:val="008C5BF7"/>
    <w:rsid w:val="008C6D6A"/>
    <w:rsid w:val="008C7349"/>
    <w:rsid w:val="008C74F5"/>
    <w:rsid w:val="008C79D9"/>
    <w:rsid w:val="008C7B92"/>
    <w:rsid w:val="008D0034"/>
    <w:rsid w:val="008D01ED"/>
    <w:rsid w:val="008D05A4"/>
    <w:rsid w:val="008D05E1"/>
    <w:rsid w:val="008D0C06"/>
    <w:rsid w:val="008D0CE5"/>
    <w:rsid w:val="008D1429"/>
    <w:rsid w:val="008D14FD"/>
    <w:rsid w:val="008D2221"/>
    <w:rsid w:val="008D23FD"/>
    <w:rsid w:val="008D2514"/>
    <w:rsid w:val="008D2632"/>
    <w:rsid w:val="008D30A5"/>
    <w:rsid w:val="008D3B17"/>
    <w:rsid w:val="008D5CD6"/>
    <w:rsid w:val="008D5E49"/>
    <w:rsid w:val="008D5F7F"/>
    <w:rsid w:val="008D67DE"/>
    <w:rsid w:val="008D6CBA"/>
    <w:rsid w:val="008D6E43"/>
    <w:rsid w:val="008D7AF1"/>
    <w:rsid w:val="008D7B9E"/>
    <w:rsid w:val="008E08BE"/>
    <w:rsid w:val="008E1414"/>
    <w:rsid w:val="008E23BD"/>
    <w:rsid w:val="008E2669"/>
    <w:rsid w:val="008E31E1"/>
    <w:rsid w:val="008E332A"/>
    <w:rsid w:val="008E3D9F"/>
    <w:rsid w:val="008E3E61"/>
    <w:rsid w:val="008E423B"/>
    <w:rsid w:val="008E4F94"/>
    <w:rsid w:val="008E59EE"/>
    <w:rsid w:val="008E5D56"/>
    <w:rsid w:val="008E5EAE"/>
    <w:rsid w:val="008E669F"/>
    <w:rsid w:val="008E6883"/>
    <w:rsid w:val="008E6B29"/>
    <w:rsid w:val="008E711C"/>
    <w:rsid w:val="008E7283"/>
    <w:rsid w:val="008E748D"/>
    <w:rsid w:val="008E7848"/>
    <w:rsid w:val="008E7B01"/>
    <w:rsid w:val="008E7D1D"/>
    <w:rsid w:val="008E7D9A"/>
    <w:rsid w:val="008F00BE"/>
    <w:rsid w:val="008F0392"/>
    <w:rsid w:val="008F1D19"/>
    <w:rsid w:val="008F206F"/>
    <w:rsid w:val="008F23A1"/>
    <w:rsid w:val="008F2F88"/>
    <w:rsid w:val="008F31B2"/>
    <w:rsid w:val="008F33BF"/>
    <w:rsid w:val="008F34E4"/>
    <w:rsid w:val="008F3B54"/>
    <w:rsid w:val="008F51AA"/>
    <w:rsid w:val="008F51CD"/>
    <w:rsid w:val="008F53D2"/>
    <w:rsid w:val="008F5AA9"/>
    <w:rsid w:val="008F5C50"/>
    <w:rsid w:val="008F624C"/>
    <w:rsid w:val="008F65C7"/>
    <w:rsid w:val="008F7FB0"/>
    <w:rsid w:val="00900468"/>
    <w:rsid w:val="009006DE"/>
    <w:rsid w:val="00900888"/>
    <w:rsid w:val="00900F0C"/>
    <w:rsid w:val="009010CA"/>
    <w:rsid w:val="00901753"/>
    <w:rsid w:val="009017E2"/>
    <w:rsid w:val="00901A82"/>
    <w:rsid w:val="00901D7D"/>
    <w:rsid w:val="00901FAA"/>
    <w:rsid w:val="00902308"/>
    <w:rsid w:val="009038DF"/>
    <w:rsid w:val="00903957"/>
    <w:rsid w:val="00903A76"/>
    <w:rsid w:val="00903FD2"/>
    <w:rsid w:val="0090447D"/>
    <w:rsid w:val="0090449E"/>
    <w:rsid w:val="00904EB9"/>
    <w:rsid w:val="00904EF5"/>
    <w:rsid w:val="00905496"/>
    <w:rsid w:val="0090646A"/>
    <w:rsid w:val="009068F5"/>
    <w:rsid w:val="0091012B"/>
    <w:rsid w:val="00910BAB"/>
    <w:rsid w:val="00910E19"/>
    <w:rsid w:val="00910EDA"/>
    <w:rsid w:val="00910FF5"/>
    <w:rsid w:val="009117F3"/>
    <w:rsid w:val="00911F12"/>
    <w:rsid w:val="00912456"/>
    <w:rsid w:val="00912578"/>
    <w:rsid w:val="009125E4"/>
    <w:rsid w:val="009128B3"/>
    <w:rsid w:val="00912B19"/>
    <w:rsid w:val="00913129"/>
    <w:rsid w:val="00913406"/>
    <w:rsid w:val="00915066"/>
    <w:rsid w:val="00915783"/>
    <w:rsid w:val="00915914"/>
    <w:rsid w:val="009165A1"/>
    <w:rsid w:val="00916D36"/>
    <w:rsid w:val="00917020"/>
    <w:rsid w:val="009171DB"/>
    <w:rsid w:val="00917DCF"/>
    <w:rsid w:val="00920245"/>
    <w:rsid w:val="00920259"/>
    <w:rsid w:val="0092085A"/>
    <w:rsid w:val="00920A15"/>
    <w:rsid w:val="00921397"/>
    <w:rsid w:val="009215E7"/>
    <w:rsid w:val="0092195A"/>
    <w:rsid w:val="00921B3C"/>
    <w:rsid w:val="009222CE"/>
    <w:rsid w:val="00922357"/>
    <w:rsid w:val="009224E1"/>
    <w:rsid w:val="0092610F"/>
    <w:rsid w:val="0092649A"/>
    <w:rsid w:val="00926A4A"/>
    <w:rsid w:val="00926B90"/>
    <w:rsid w:val="00926C56"/>
    <w:rsid w:val="00926EE0"/>
    <w:rsid w:val="00926FA5"/>
    <w:rsid w:val="009270B9"/>
    <w:rsid w:val="00927111"/>
    <w:rsid w:val="00931699"/>
    <w:rsid w:val="00931758"/>
    <w:rsid w:val="00932681"/>
    <w:rsid w:val="009328F2"/>
    <w:rsid w:val="00932B1F"/>
    <w:rsid w:val="00933500"/>
    <w:rsid w:val="009339DA"/>
    <w:rsid w:val="00933BD1"/>
    <w:rsid w:val="00933E17"/>
    <w:rsid w:val="00934853"/>
    <w:rsid w:val="0093498B"/>
    <w:rsid w:val="00934DDF"/>
    <w:rsid w:val="00935028"/>
    <w:rsid w:val="009361D9"/>
    <w:rsid w:val="009366B3"/>
    <w:rsid w:val="00936A06"/>
    <w:rsid w:val="00936B16"/>
    <w:rsid w:val="00936B5E"/>
    <w:rsid w:val="00936BE5"/>
    <w:rsid w:val="00936D48"/>
    <w:rsid w:val="00937716"/>
    <w:rsid w:val="00940DC3"/>
    <w:rsid w:val="009419BA"/>
    <w:rsid w:val="00941C00"/>
    <w:rsid w:val="009423D0"/>
    <w:rsid w:val="0094278D"/>
    <w:rsid w:val="009429F3"/>
    <w:rsid w:val="0094303A"/>
    <w:rsid w:val="009434AE"/>
    <w:rsid w:val="00943856"/>
    <w:rsid w:val="00943A12"/>
    <w:rsid w:val="009440A0"/>
    <w:rsid w:val="009447D0"/>
    <w:rsid w:val="00944D34"/>
    <w:rsid w:val="00944DAB"/>
    <w:rsid w:val="00945884"/>
    <w:rsid w:val="00945D95"/>
    <w:rsid w:val="00946658"/>
    <w:rsid w:val="00947784"/>
    <w:rsid w:val="0094790F"/>
    <w:rsid w:val="009479FA"/>
    <w:rsid w:val="00947F41"/>
    <w:rsid w:val="00950138"/>
    <w:rsid w:val="00950E0A"/>
    <w:rsid w:val="009511BD"/>
    <w:rsid w:val="009512C5"/>
    <w:rsid w:val="00951825"/>
    <w:rsid w:val="00952319"/>
    <w:rsid w:val="00952DAD"/>
    <w:rsid w:val="00953020"/>
    <w:rsid w:val="00953892"/>
    <w:rsid w:val="009541AB"/>
    <w:rsid w:val="00954224"/>
    <w:rsid w:val="009543E1"/>
    <w:rsid w:val="00954792"/>
    <w:rsid w:val="00954A45"/>
    <w:rsid w:val="00954A9B"/>
    <w:rsid w:val="00954E5C"/>
    <w:rsid w:val="00956513"/>
    <w:rsid w:val="00956D9E"/>
    <w:rsid w:val="00956DE1"/>
    <w:rsid w:val="00957006"/>
    <w:rsid w:val="0095733D"/>
    <w:rsid w:val="00957491"/>
    <w:rsid w:val="00957722"/>
    <w:rsid w:val="009578EB"/>
    <w:rsid w:val="0096014F"/>
    <w:rsid w:val="009608A3"/>
    <w:rsid w:val="00960BD4"/>
    <w:rsid w:val="00960D75"/>
    <w:rsid w:val="009610C9"/>
    <w:rsid w:val="009614D3"/>
    <w:rsid w:val="00961F6A"/>
    <w:rsid w:val="009620E3"/>
    <w:rsid w:val="00962692"/>
    <w:rsid w:val="00962E17"/>
    <w:rsid w:val="00963051"/>
    <w:rsid w:val="009637A9"/>
    <w:rsid w:val="00963B28"/>
    <w:rsid w:val="00963CA3"/>
    <w:rsid w:val="00963ECD"/>
    <w:rsid w:val="00963FBF"/>
    <w:rsid w:val="00964BB0"/>
    <w:rsid w:val="00964DA8"/>
    <w:rsid w:val="00964F3A"/>
    <w:rsid w:val="00965954"/>
    <w:rsid w:val="00965CE4"/>
    <w:rsid w:val="00966300"/>
    <w:rsid w:val="00967A63"/>
    <w:rsid w:val="00970467"/>
    <w:rsid w:val="00970FF5"/>
    <w:rsid w:val="009713D5"/>
    <w:rsid w:val="00971649"/>
    <w:rsid w:val="009722AF"/>
    <w:rsid w:val="00973C3B"/>
    <w:rsid w:val="00973DD6"/>
    <w:rsid w:val="00973FCC"/>
    <w:rsid w:val="009743E8"/>
    <w:rsid w:val="00974484"/>
    <w:rsid w:val="009745D8"/>
    <w:rsid w:val="00974CBB"/>
    <w:rsid w:val="00975434"/>
    <w:rsid w:val="00975D09"/>
    <w:rsid w:val="00975F8F"/>
    <w:rsid w:val="00976D35"/>
    <w:rsid w:val="00976D67"/>
    <w:rsid w:val="009777FD"/>
    <w:rsid w:val="00977BC3"/>
    <w:rsid w:val="0098084C"/>
    <w:rsid w:val="0098109F"/>
    <w:rsid w:val="009812FF"/>
    <w:rsid w:val="00982228"/>
    <w:rsid w:val="00982CCE"/>
    <w:rsid w:val="00982DF9"/>
    <w:rsid w:val="00983732"/>
    <w:rsid w:val="00984367"/>
    <w:rsid w:val="00984BB0"/>
    <w:rsid w:val="00984EAE"/>
    <w:rsid w:val="009856C0"/>
    <w:rsid w:val="009857E4"/>
    <w:rsid w:val="009857E6"/>
    <w:rsid w:val="00985A82"/>
    <w:rsid w:val="00985D7A"/>
    <w:rsid w:val="0098606A"/>
    <w:rsid w:val="00986314"/>
    <w:rsid w:val="00986787"/>
    <w:rsid w:val="009911EC"/>
    <w:rsid w:val="00991813"/>
    <w:rsid w:val="0099330B"/>
    <w:rsid w:val="009933C5"/>
    <w:rsid w:val="00993CBD"/>
    <w:rsid w:val="0099517B"/>
    <w:rsid w:val="00995701"/>
    <w:rsid w:val="00996157"/>
    <w:rsid w:val="00996751"/>
    <w:rsid w:val="00996835"/>
    <w:rsid w:val="009979B5"/>
    <w:rsid w:val="009979D1"/>
    <w:rsid w:val="00997D39"/>
    <w:rsid w:val="00997F3A"/>
    <w:rsid w:val="009A08DF"/>
    <w:rsid w:val="009A17DF"/>
    <w:rsid w:val="009A1A24"/>
    <w:rsid w:val="009A1DA7"/>
    <w:rsid w:val="009A1F22"/>
    <w:rsid w:val="009A21C9"/>
    <w:rsid w:val="009A2617"/>
    <w:rsid w:val="009A3396"/>
    <w:rsid w:val="009A3506"/>
    <w:rsid w:val="009A3E24"/>
    <w:rsid w:val="009A41EA"/>
    <w:rsid w:val="009A4313"/>
    <w:rsid w:val="009A44A4"/>
    <w:rsid w:val="009A4722"/>
    <w:rsid w:val="009A4E42"/>
    <w:rsid w:val="009A4E81"/>
    <w:rsid w:val="009A4E8B"/>
    <w:rsid w:val="009A6CDA"/>
    <w:rsid w:val="009A7742"/>
    <w:rsid w:val="009A7C6A"/>
    <w:rsid w:val="009B072A"/>
    <w:rsid w:val="009B0DAB"/>
    <w:rsid w:val="009B15EA"/>
    <w:rsid w:val="009B17A1"/>
    <w:rsid w:val="009B1D3C"/>
    <w:rsid w:val="009B1EEC"/>
    <w:rsid w:val="009B206C"/>
    <w:rsid w:val="009B38C9"/>
    <w:rsid w:val="009B4B53"/>
    <w:rsid w:val="009B4FE0"/>
    <w:rsid w:val="009B56BB"/>
    <w:rsid w:val="009B5842"/>
    <w:rsid w:val="009B68A8"/>
    <w:rsid w:val="009B6FA5"/>
    <w:rsid w:val="009B74CC"/>
    <w:rsid w:val="009C03C0"/>
    <w:rsid w:val="009C0718"/>
    <w:rsid w:val="009C0AE2"/>
    <w:rsid w:val="009C0B1F"/>
    <w:rsid w:val="009C0E3D"/>
    <w:rsid w:val="009C1054"/>
    <w:rsid w:val="009C12F1"/>
    <w:rsid w:val="009C1F73"/>
    <w:rsid w:val="009C2076"/>
    <w:rsid w:val="009C227A"/>
    <w:rsid w:val="009C36F7"/>
    <w:rsid w:val="009C39C8"/>
    <w:rsid w:val="009C3D96"/>
    <w:rsid w:val="009C3E71"/>
    <w:rsid w:val="009C4DB3"/>
    <w:rsid w:val="009C5E1F"/>
    <w:rsid w:val="009C60A0"/>
    <w:rsid w:val="009C69FB"/>
    <w:rsid w:val="009C7186"/>
    <w:rsid w:val="009D0127"/>
    <w:rsid w:val="009D0289"/>
    <w:rsid w:val="009D04AF"/>
    <w:rsid w:val="009D08B2"/>
    <w:rsid w:val="009D092B"/>
    <w:rsid w:val="009D0AEB"/>
    <w:rsid w:val="009D0AF2"/>
    <w:rsid w:val="009D1070"/>
    <w:rsid w:val="009D1262"/>
    <w:rsid w:val="009D1B6E"/>
    <w:rsid w:val="009D1D2F"/>
    <w:rsid w:val="009D28AD"/>
    <w:rsid w:val="009D2B9B"/>
    <w:rsid w:val="009D2E32"/>
    <w:rsid w:val="009D3219"/>
    <w:rsid w:val="009D3DDC"/>
    <w:rsid w:val="009D4056"/>
    <w:rsid w:val="009D4B04"/>
    <w:rsid w:val="009D4C0C"/>
    <w:rsid w:val="009D4D4C"/>
    <w:rsid w:val="009D4D86"/>
    <w:rsid w:val="009D52D0"/>
    <w:rsid w:val="009D54D1"/>
    <w:rsid w:val="009D60F7"/>
    <w:rsid w:val="009D6995"/>
    <w:rsid w:val="009D6E48"/>
    <w:rsid w:val="009D7836"/>
    <w:rsid w:val="009D7D7E"/>
    <w:rsid w:val="009E060D"/>
    <w:rsid w:val="009E0953"/>
    <w:rsid w:val="009E0B30"/>
    <w:rsid w:val="009E1C22"/>
    <w:rsid w:val="009E1DA4"/>
    <w:rsid w:val="009E2F5C"/>
    <w:rsid w:val="009E30B7"/>
    <w:rsid w:val="009E3716"/>
    <w:rsid w:val="009E3FD3"/>
    <w:rsid w:val="009E462F"/>
    <w:rsid w:val="009E4A48"/>
    <w:rsid w:val="009E6A91"/>
    <w:rsid w:val="009E6C0D"/>
    <w:rsid w:val="009E740B"/>
    <w:rsid w:val="009E7747"/>
    <w:rsid w:val="009E7F47"/>
    <w:rsid w:val="009F00FF"/>
    <w:rsid w:val="009F08E0"/>
    <w:rsid w:val="009F0F3E"/>
    <w:rsid w:val="009F190A"/>
    <w:rsid w:val="009F24B4"/>
    <w:rsid w:val="009F2E33"/>
    <w:rsid w:val="009F3B5D"/>
    <w:rsid w:val="009F4209"/>
    <w:rsid w:val="009F5A7F"/>
    <w:rsid w:val="009F5D18"/>
    <w:rsid w:val="009F6837"/>
    <w:rsid w:val="009F683C"/>
    <w:rsid w:val="009F68BC"/>
    <w:rsid w:val="009F7B32"/>
    <w:rsid w:val="009F7B81"/>
    <w:rsid w:val="009F7EC0"/>
    <w:rsid w:val="00A00402"/>
    <w:rsid w:val="00A01651"/>
    <w:rsid w:val="00A0169C"/>
    <w:rsid w:val="00A022DC"/>
    <w:rsid w:val="00A02E23"/>
    <w:rsid w:val="00A033CE"/>
    <w:rsid w:val="00A03DDC"/>
    <w:rsid w:val="00A041A4"/>
    <w:rsid w:val="00A0425C"/>
    <w:rsid w:val="00A04583"/>
    <w:rsid w:val="00A048F4"/>
    <w:rsid w:val="00A04C6A"/>
    <w:rsid w:val="00A05517"/>
    <w:rsid w:val="00A0595E"/>
    <w:rsid w:val="00A05A9A"/>
    <w:rsid w:val="00A06634"/>
    <w:rsid w:val="00A072DA"/>
    <w:rsid w:val="00A079B8"/>
    <w:rsid w:val="00A109E1"/>
    <w:rsid w:val="00A10B3C"/>
    <w:rsid w:val="00A10E56"/>
    <w:rsid w:val="00A10EEB"/>
    <w:rsid w:val="00A119E5"/>
    <w:rsid w:val="00A12474"/>
    <w:rsid w:val="00A127EB"/>
    <w:rsid w:val="00A12BC9"/>
    <w:rsid w:val="00A1357A"/>
    <w:rsid w:val="00A13D20"/>
    <w:rsid w:val="00A1416E"/>
    <w:rsid w:val="00A14B5E"/>
    <w:rsid w:val="00A14EEB"/>
    <w:rsid w:val="00A166C0"/>
    <w:rsid w:val="00A16718"/>
    <w:rsid w:val="00A16878"/>
    <w:rsid w:val="00A16D99"/>
    <w:rsid w:val="00A214E0"/>
    <w:rsid w:val="00A21B0C"/>
    <w:rsid w:val="00A22076"/>
    <w:rsid w:val="00A22EBD"/>
    <w:rsid w:val="00A234E3"/>
    <w:rsid w:val="00A24733"/>
    <w:rsid w:val="00A251EA"/>
    <w:rsid w:val="00A2520B"/>
    <w:rsid w:val="00A265E3"/>
    <w:rsid w:val="00A26859"/>
    <w:rsid w:val="00A30A45"/>
    <w:rsid w:val="00A323C6"/>
    <w:rsid w:val="00A325B1"/>
    <w:rsid w:val="00A3290C"/>
    <w:rsid w:val="00A329FF"/>
    <w:rsid w:val="00A32B97"/>
    <w:rsid w:val="00A3312E"/>
    <w:rsid w:val="00A333C5"/>
    <w:rsid w:val="00A343FE"/>
    <w:rsid w:val="00A34A7E"/>
    <w:rsid w:val="00A34EC0"/>
    <w:rsid w:val="00A361BC"/>
    <w:rsid w:val="00A37469"/>
    <w:rsid w:val="00A37659"/>
    <w:rsid w:val="00A37C85"/>
    <w:rsid w:val="00A37D07"/>
    <w:rsid w:val="00A37D3A"/>
    <w:rsid w:val="00A37DAA"/>
    <w:rsid w:val="00A406B4"/>
    <w:rsid w:val="00A40BFD"/>
    <w:rsid w:val="00A412D7"/>
    <w:rsid w:val="00A41D5F"/>
    <w:rsid w:val="00A42C69"/>
    <w:rsid w:val="00A42CB0"/>
    <w:rsid w:val="00A42F3C"/>
    <w:rsid w:val="00A43616"/>
    <w:rsid w:val="00A43B44"/>
    <w:rsid w:val="00A43E47"/>
    <w:rsid w:val="00A44EA1"/>
    <w:rsid w:val="00A45210"/>
    <w:rsid w:val="00A46C76"/>
    <w:rsid w:val="00A470CD"/>
    <w:rsid w:val="00A474EC"/>
    <w:rsid w:val="00A477B5"/>
    <w:rsid w:val="00A47E3C"/>
    <w:rsid w:val="00A47F72"/>
    <w:rsid w:val="00A508F8"/>
    <w:rsid w:val="00A50EF1"/>
    <w:rsid w:val="00A50F75"/>
    <w:rsid w:val="00A513F1"/>
    <w:rsid w:val="00A51736"/>
    <w:rsid w:val="00A517CC"/>
    <w:rsid w:val="00A51B54"/>
    <w:rsid w:val="00A51BDE"/>
    <w:rsid w:val="00A5274C"/>
    <w:rsid w:val="00A527F4"/>
    <w:rsid w:val="00A53889"/>
    <w:rsid w:val="00A538E5"/>
    <w:rsid w:val="00A5393E"/>
    <w:rsid w:val="00A53D1E"/>
    <w:rsid w:val="00A542C6"/>
    <w:rsid w:val="00A543A2"/>
    <w:rsid w:val="00A5479E"/>
    <w:rsid w:val="00A54C6A"/>
    <w:rsid w:val="00A54D34"/>
    <w:rsid w:val="00A55799"/>
    <w:rsid w:val="00A558D7"/>
    <w:rsid w:val="00A55D4C"/>
    <w:rsid w:val="00A57FE9"/>
    <w:rsid w:val="00A6045F"/>
    <w:rsid w:val="00A606D4"/>
    <w:rsid w:val="00A60903"/>
    <w:rsid w:val="00A6128C"/>
    <w:rsid w:val="00A61397"/>
    <w:rsid w:val="00A614FE"/>
    <w:rsid w:val="00A61AF9"/>
    <w:rsid w:val="00A6283D"/>
    <w:rsid w:val="00A62ACD"/>
    <w:rsid w:val="00A6319D"/>
    <w:rsid w:val="00A635BA"/>
    <w:rsid w:val="00A63688"/>
    <w:rsid w:val="00A63C39"/>
    <w:rsid w:val="00A64DE1"/>
    <w:rsid w:val="00A64E81"/>
    <w:rsid w:val="00A66690"/>
    <w:rsid w:val="00A666DE"/>
    <w:rsid w:val="00A6698C"/>
    <w:rsid w:val="00A66F67"/>
    <w:rsid w:val="00A67019"/>
    <w:rsid w:val="00A67957"/>
    <w:rsid w:val="00A67BBE"/>
    <w:rsid w:val="00A7048C"/>
    <w:rsid w:val="00A70D65"/>
    <w:rsid w:val="00A71142"/>
    <w:rsid w:val="00A71809"/>
    <w:rsid w:val="00A71BFB"/>
    <w:rsid w:val="00A72CA8"/>
    <w:rsid w:val="00A72FFA"/>
    <w:rsid w:val="00A73B3D"/>
    <w:rsid w:val="00A74A1D"/>
    <w:rsid w:val="00A75FE7"/>
    <w:rsid w:val="00A763ED"/>
    <w:rsid w:val="00A765DD"/>
    <w:rsid w:val="00A7680B"/>
    <w:rsid w:val="00A7786B"/>
    <w:rsid w:val="00A7789A"/>
    <w:rsid w:val="00A77EF1"/>
    <w:rsid w:val="00A800A0"/>
    <w:rsid w:val="00A80881"/>
    <w:rsid w:val="00A80F90"/>
    <w:rsid w:val="00A810DC"/>
    <w:rsid w:val="00A81FD9"/>
    <w:rsid w:val="00A8469C"/>
    <w:rsid w:val="00A84984"/>
    <w:rsid w:val="00A850B8"/>
    <w:rsid w:val="00A8548B"/>
    <w:rsid w:val="00A85791"/>
    <w:rsid w:val="00A85878"/>
    <w:rsid w:val="00A85D25"/>
    <w:rsid w:val="00A8663B"/>
    <w:rsid w:val="00A86E18"/>
    <w:rsid w:val="00A8743D"/>
    <w:rsid w:val="00A87DA3"/>
    <w:rsid w:val="00A9108B"/>
    <w:rsid w:val="00A91ED5"/>
    <w:rsid w:val="00A9271A"/>
    <w:rsid w:val="00A92971"/>
    <w:rsid w:val="00A92EE6"/>
    <w:rsid w:val="00A92EF6"/>
    <w:rsid w:val="00A94003"/>
    <w:rsid w:val="00A942BE"/>
    <w:rsid w:val="00A94B22"/>
    <w:rsid w:val="00A9699A"/>
    <w:rsid w:val="00A96B8A"/>
    <w:rsid w:val="00A97096"/>
    <w:rsid w:val="00A97108"/>
    <w:rsid w:val="00A9789C"/>
    <w:rsid w:val="00A97C3D"/>
    <w:rsid w:val="00A97C70"/>
    <w:rsid w:val="00A97FA5"/>
    <w:rsid w:val="00AA065B"/>
    <w:rsid w:val="00AA0A28"/>
    <w:rsid w:val="00AA0EB9"/>
    <w:rsid w:val="00AA0F02"/>
    <w:rsid w:val="00AA1DCB"/>
    <w:rsid w:val="00AA23A4"/>
    <w:rsid w:val="00AA2B29"/>
    <w:rsid w:val="00AA2BEF"/>
    <w:rsid w:val="00AA31B5"/>
    <w:rsid w:val="00AA3955"/>
    <w:rsid w:val="00AA39B0"/>
    <w:rsid w:val="00AA4021"/>
    <w:rsid w:val="00AA573D"/>
    <w:rsid w:val="00AA5A8F"/>
    <w:rsid w:val="00AA5EB3"/>
    <w:rsid w:val="00AA6026"/>
    <w:rsid w:val="00AA6616"/>
    <w:rsid w:val="00AA6618"/>
    <w:rsid w:val="00AA6A00"/>
    <w:rsid w:val="00AA70E4"/>
    <w:rsid w:val="00AA7851"/>
    <w:rsid w:val="00AA7982"/>
    <w:rsid w:val="00AA79C8"/>
    <w:rsid w:val="00AA7E7A"/>
    <w:rsid w:val="00AB0852"/>
    <w:rsid w:val="00AB0EDC"/>
    <w:rsid w:val="00AB148B"/>
    <w:rsid w:val="00AB243D"/>
    <w:rsid w:val="00AB2924"/>
    <w:rsid w:val="00AB2A6B"/>
    <w:rsid w:val="00AB39A5"/>
    <w:rsid w:val="00AB3C59"/>
    <w:rsid w:val="00AB4970"/>
    <w:rsid w:val="00AB5096"/>
    <w:rsid w:val="00AB60F5"/>
    <w:rsid w:val="00AB6785"/>
    <w:rsid w:val="00AB742D"/>
    <w:rsid w:val="00AC00C9"/>
    <w:rsid w:val="00AC059B"/>
    <w:rsid w:val="00AC06C4"/>
    <w:rsid w:val="00AC13C6"/>
    <w:rsid w:val="00AC1853"/>
    <w:rsid w:val="00AC18B5"/>
    <w:rsid w:val="00AC2468"/>
    <w:rsid w:val="00AC2B58"/>
    <w:rsid w:val="00AC2BFB"/>
    <w:rsid w:val="00AC2DFE"/>
    <w:rsid w:val="00AC3420"/>
    <w:rsid w:val="00AC49BB"/>
    <w:rsid w:val="00AC4A57"/>
    <w:rsid w:val="00AC4A95"/>
    <w:rsid w:val="00AC4FE3"/>
    <w:rsid w:val="00AC52F5"/>
    <w:rsid w:val="00AC5D56"/>
    <w:rsid w:val="00AC646B"/>
    <w:rsid w:val="00AC6593"/>
    <w:rsid w:val="00AC659A"/>
    <w:rsid w:val="00AC69F5"/>
    <w:rsid w:val="00AC6D08"/>
    <w:rsid w:val="00AC6FD8"/>
    <w:rsid w:val="00AD0AB6"/>
    <w:rsid w:val="00AD0DE1"/>
    <w:rsid w:val="00AD1457"/>
    <w:rsid w:val="00AD1E5B"/>
    <w:rsid w:val="00AD2D0D"/>
    <w:rsid w:val="00AD2D5E"/>
    <w:rsid w:val="00AD378E"/>
    <w:rsid w:val="00AD3C66"/>
    <w:rsid w:val="00AD41BF"/>
    <w:rsid w:val="00AD44D5"/>
    <w:rsid w:val="00AD4773"/>
    <w:rsid w:val="00AD55FD"/>
    <w:rsid w:val="00AD5667"/>
    <w:rsid w:val="00AD57E1"/>
    <w:rsid w:val="00AD5ADA"/>
    <w:rsid w:val="00AD6DF8"/>
    <w:rsid w:val="00AD7610"/>
    <w:rsid w:val="00AE0661"/>
    <w:rsid w:val="00AE0DF1"/>
    <w:rsid w:val="00AE13A4"/>
    <w:rsid w:val="00AE23F6"/>
    <w:rsid w:val="00AE2428"/>
    <w:rsid w:val="00AE2EFE"/>
    <w:rsid w:val="00AE3D8F"/>
    <w:rsid w:val="00AE4B1B"/>
    <w:rsid w:val="00AE4BEA"/>
    <w:rsid w:val="00AE4EB9"/>
    <w:rsid w:val="00AE4EF1"/>
    <w:rsid w:val="00AE54CB"/>
    <w:rsid w:val="00AE55B4"/>
    <w:rsid w:val="00AE55BE"/>
    <w:rsid w:val="00AE5E68"/>
    <w:rsid w:val="00AE6BE6"/>
    <w:rsid w:val="00AE6EE9"/>
    <w:rsid w:val="00AE6F0F"/>
    <w:rsid w:val="00AE70B1"/>
    <w:rsid w:val="00AE7950"/>
    <w:rsid w:val="00AF0413"/>
    <w:rsid w:val="00AF0EA8"/>
    <w:rsid w:val="00AF101E"/>
    <w:rsid w:val="00AF10D4"/>
    <w:rsid w:val="00AF1268"/>
    <w:rsid w:val="00AF1612"/>
    <w:rsid w:val="00AF1AC7"/>
    <w:rsid w:val="00AF2872"/>
    <w:rsid w:val="00AF2874"/>
    <w:rsid w:val="00AF2A24"/>
    <w:rsid w:val="00AF3BC3"/>
    <w:rsid w:val="00AF3ED3"/>
    <w:rsid w:val="00AF46F6"/>
    <w:rsid w:val="00AF4833"/>
    <w:rsid w:val="00AF4D02"/>
    <w:rsid w:val="00AF4F93"/>
    <w:rsid w:val="00AF4FC3"/>
    <w:rsid w:val="00AF511D"/>
    <w:rsid w:val="00AF53A0"/>
    <w:rsid w:val="00AF58FF"/>
    <w:rsid w:val="00AF621E"/>
    <w:rsid w:val="00AF6BEC"/>
    <w:rsid w:val="00AF6EDD"/>
    <w:rsid w:val="00AF7091"/>
    <w:rsid w:val="00AF73EE"/>
    <w:rsid w:val="00AF764A"/>
    <w:rsid w:val="00AF7C06"/>
    <w:rsid w:val="00B00230"/>
    <w:rsid w:val="00B00407"/>
    <w:rsid w:val="00B00B30"/>
    <w:rsid w:val="00B0158A"/>
    <w:rsid w:val="00B024EF"/>
    <w:rsid w:val="00B026A2"/>
    <w:rsid w:val="00B02CFC"/>
    <w:rsid w:val="00B0348C"/>
    <w:rsid w:val="00B03938"/>
    <w:rsid w:val="00B04000"/>
    <w:rsid w:val="00B051FF"/>
    <w:rsid w:val="00B053B4"/>
    <w:rsid w:val="00B05998"/>
    <w:rsid w:val="00B05F9A"/>
    <w:rsid w:val="00B07049"/>
    <w:rsid w:val="00B07606"/>
    <w:rsid w:val="00B07D72"/>
    <w:rsid w:val="00B07E27"/>
    <w:rsid w:val="00B1049D"/>
    <w:rsid w:val="00B10BC9"/>
    <w:rsid w:val="00B114B9"/>
    <w:rsid w:val="00B12266"/>
    <w:rsid w:val="00B13610"/>
    <w:rsid w:val="00B139C1"/>
    <w:rsid w:val="00B13AC4"/>
    <w:rsid w:val="00B14024"/>
    <w:rsid w:val="00B1415C"/>
    <w:rsid w:val="00B1456F"/>
    <w:rsid w:val="00B1488E"/>
    <w:rsid w:val="00B14DF3"/>
    <w:rsid w:val="00B14DF7"/>
    <w:rsid w:val="00B152C5"/>
    <w:rsid w:val="00B169A8"/>
    <w:rsid w:val="00B16B59"/>
    <w:rsid w:val="00B17583"/>
    <w:rsid w:val="00B1777A"/>
    <w:rsid w:val="00B17CE2"/>
    <w:rsid w:val="00B2048B"/>
    <w:rsid w:val="00B20BE0"/>
    <w:rsid w:val="00B20FA7"/>
    <w:rsid w:val="00B217C3"/>
    <w:rsid w:val="00B21913"/>
    <w:rsid w:val="00B22073"/>
    <w:rsid w:val="00B22135"/>
    <w:rsid w:val="00B224DD"/>
    <w:rsid w:val="00B22663"/>
    <w:rsid w:val="00B227EB"/>
    <w:rsid w:val="00B22C2B"/>
    <w:rsid w:val="00B2334F"/>
    <w:rsid w:val="00B23388"/>
    <w:rsid w:val="00B242FE"/>
    <w:rsid w:val="00B247D5"/>
    <w:rsid w:val="00B25006"/>
    <w:rsid w:val="00B255DB"/>
    <w:rsid w:val="00B25BF7"/>
    <w:rsid w:val="00B25DFC"/>
    <w:rsid w:val="00B2605E"/>
    <w:rsid w:val="00B2615E"/>
    <w:rsid w:val="00B26590"/>
    <w:rsid w:val="00B26B1C"/>
    <w:rsid w:val="00B26C61"/>
    <w:rsid w:val="00B26D06"/>
    <w:rsid w:val="00B26E73"/>
    <w:rsid w:val="00B27618"/>
    <w:rsid w:val="00B27F38"/>
    <w:rsid w:val="00B308B6"/>
    <w:rsid w:val="00B30D43"/>
    <w:rsid w:val="00B30FF2"/>
    <w:rsid w:val="00B318FE"/>
    <w:rsid w:val="00B31C2C"/>
    <w:rsid w:val="00B32302"/>
    <w:rsid w:val="00B32570"/>
    <w:rsid w:val="00B3313F"/>
    <w:rsid w:val="00B334BC"/>
    <w:rsid w:val="00B33895"/>
    <w:rsid w:val="00B33D12"/>
    <w:rsid w:val="00B33F27"/>
    <w:rsid w:val="00B34762"/>
    <w:rsid w:val="00B355C7"/>
    <w:rsid w:val="00B35D75"/>
    <w:rsid w:val="00B36610"/>
    <w:rsid w:val="00B36F6B"/>
    <w:rsid w:val="00B36F8C"/>
    <w:rsid w:val="00B4054C"/>
    <w:rsid w:val="00B41565"/>
    <w:rsid w:val="00B41921"/>
    <w:rsid w:val="00B41A7A"/>
    <w:rsid w:val="00B422DD"/>
    <w:rsid w:val="00B42313"/>
    <w:rsid w:val="00B423C7"/>
    <w:rsid w:val="00B44351"/>
    <w:rsid w:val="00B44B35"/>
    <w:rsid w:val="00B44C44"/>
    <w:rsid w:val="00B44C9A"/>
    <w:rsid w:val="00B45268"/>
    <w:rsid w:val="00B45332"/>
    <w:rsid w:val="00B45946"/>
    <w:rsid w:val="00B46EB2"/>
    <w:rsid w:val="00B46F3D"/>
    <w:rsid w:val="00B46F3F"/>
    <w:rsid w:val="00B47BDF"/>
    <w:rsid w:val="00B47EF7"/>
    <w:rsid w:val="00B504F6"/>
    <w:rsid w:val="00B51122"/>
    <w:rsid w:val="00B51305"/>
    <w:rsid w:val="00B518AC"/>
    <w:rsid w:val="00B51A74"/>
    <w:rsid w:val="00B52BF2"/>
    <w:rsid w:val="00B5367E"/>
    <w:rsid w:val="00B53778"/>
    <w:rsid w:val="00B53CB5"/>
    <w:rsid w:val="00B540FF"/>
    <w:rsid w:val="00B55DEC"/>
    <w:rsid w:val="00B560C2"/>
    <w:rsid w:val="00B56326"/>
    <w:rsid w:val="00B56A3E"/>
    <w:rsid w:val="00B60102"/>
    <w:rsid w:val="00B60252"/>
    <w:rsid w:val="00B605E2"/>
    <w:rsid w:val="00B60615"/>
    <w:rsid w:val="00B6067D"/>
    <w:rsid w:val="00B61803"/>
    <w:rsid w:val="00B618FA"/>
    <w:rsid w:val="00B61B6D"/>
    <w:rsid w:val="00B62037"/>
    <w:rsid w:val="00B624D8"/>
    <w:rsid w:val="00B62B49"/>
    <w:rsid w:val="00B62E2E"/>
    <w:rsid w:val="00B62FE5"/>
    <w:rsid w:val="00B63159"/>
    <w:rsid w:val="00B63EDF"/>
    <w:rsid w:val="00B6447F"/>
    <w:rsid w:val="00B65193"/>
    <w:rsid w:val="00B66303"/>
    <w:rsid w:val="00B66513"/>
    <w:rsid w:val="00B6662F"/>
    <w:rsid w:val="00B66940"/>
    <w:rsid w:val="00B6705B"/>
    <w:rsid w:val="00B67124"/>
    <w:rsid w:val="00B67628"/>
    <w:rsid w:val="00B67955"/>
    <w:rsid w:val="00B67BEC"/>
    <w:rsid w:val="00B707AB"/>
    <w:rsid w:val="00B70E99"/>
    <w:rsid w:val="00B71373"/>
    <w:rsid w:val="00B7151B"/>
    <w:rsid w:val="00B71E90"/>
    <w:rsid w:val="00B72282"/>
    <w:rsid w:val="00B73ADF"/>
    <w:rsid w:val="00B73CEA"/>
    <w:rsid w:val="00B742CD"/>
    <w:rsid w:val="00B7465B"/>
    <w:rsid w:val="00B74722"/>
    <w:rsid w:val="00B74731"/>
    <w:rsid w:val="00B74EAA"/>
    <w:rsid w:val="00B74F83"/>
    <w:rsid w:val="00B757B6"/>
    <w:rsid w:val="00B75A33"/>
    <w:rsid w:val="00B75F10"/>
    <w:rsid w:val="00B760CB"/>
    <w:rsid w:val="00B76DDC"/>
    <w:rsid w:val="00B7760F"/>
    <w:rsid w:val="00B80832"/>
    <w:rsid w:val="00B80910"/>
    <w:rsid w:val="00B80ED6"/>
    <w:rsid w:val="00B81AB4"/>
    <w:rsid w:val="00B81D2B"/>
    <w:rsid w:val="00B82F9A"/>
    <w:rsid w:val="00B82FFA"/>
    <w:rsid w:val="00B83365"/>
    <w:rsid w:val="00B835D7"/>
    <w:rsid w:val="00B83DCB"/>
    <w:rsid w:val="00B840E8"/>
    <w:rsid w:val="00B84310"/>
    <w:rsid w:val="00B84D62"/>
    <w:rsid w:val="00B850CE"/>
    <w:rsid w:val="00B856C7"/>
    <w:rsid w:val="00B85963"/>
    <w:rsid w:val="00B85B7A"/>
    <w:rsid w:val="00B86CF5"/>
    <w:rsid w:val="00B87284"/>
    <w:rsid w:val="00B875F3"/>
    <w:rsid w:val="00B900DC"/>
    <w:rsid w:val="00B9043F"/>
    <w:rsid w:val="00B907AE"/>
    <w:rsid w:val="00B9121B"/>
    <w:rsid w:val="00B918B7"/>
    <w:rsid w:val="00B91AA4"/>
    <w:rsid w:val="00B920AA"/>
    <w:rsid w:val="00B921A7"/>
    <w:rsid w:val="00B92498"/>
    <w:rsid w:val="00B92686"/>
    <w:rsid w:val="00B926BD"/>
    <w:rsid w:val="00B93581"/>
    <w:rsid w:val="00B93EAD"/>
    <w:rsid w:val="00B93F24"/>
    <w:rsid w:val="00B93FEB"/>
    <w:rsid w:val="00B94DAD"/>
    <w:rsid w:val="00B94ED2"/>
    <w:rsid w:val="00B95A06"/>
    <w:rsid w:val="00B95B84"/>
    <w:rsid w:val="00B95F54"/>
    <w:rsid w:val="00B960BB"/>
    <w:rsid w:val="00B96564"/>
    <w:rsid w:val="00B96A3B"/>
    <w:rsid w:val="00B96E86"/>
    <w:rsid w:val="00B97121"/>
    <w:rsid w:val="00B9732F"/>
    <w:rsid w:val="00B97E82"/>
    <w:rsid w:val="00B97EEA"/>
    <w:rsid w:val="00BA047C"/>
    <w:rsid w:val="00BA10BD"/>
    <w:rsid w:val="00BA1422"/>
    <w:rsid w:val="00BA2CDE"/>
    <w:rsid w:val="00BA3547"/>
    <w:rsid w:val="00BA366F"/>
    <w:rsid w:val="00BA3F7C"/>
    <w:rsid w:val="00BA482D"/>
    <w:rsid w:val="00BA5AEF"/>
    <w:rsid w:val="00BA6900"/>
    <w:rsid w:val="00BA6AEA"/>
    <w:rsid w:val="00BA6B94"/>
    <w:rsid w:val="00BA78E0"/>
    <w:rsid w:val="00BA7919"/>
    <w:rsid w:val="00BA7D40"/>
    <w:rsid w:val="00BA7EA9"/>
    <w:rsid w:val="00BB06F9"/>
    <w:rsid w:val="00BB12BE"/>
    <w:rsid w:val="00BB12CD"/>
    <w:rsid w:val="00BB13E4"/>
    <w:rsid w:val="00BB13E5"/>
    <w:rsid w:val="00BB1BF7"/>
    <w:rsid w:val="00BB1C2A"/>
    <w:rsid w:val="00BB1D65"/>
    <w:rsid w:val="00BB23DF"/>
    <w:rsid w:val="00BB2A2F"/>
    <w:rsid w:val="00BB2D5D"/>
    <w:rsid w:val="00BB3463"/>
    <w:rsid w:val="00BB3C21"/>
    <w:rsid w:val="00BB5325"/>
    <w:rsid w:val="00BB570B"/>
    <w:rsid w:val="00BB5767"/>
    <w:rsid w:val="00BB6043"/>
    <w:rsid w:val="00BB74BC"/>
    <w:rsid w:val="00BB76F9"/>
    <w:rsid w:val="00BB7D1F"/>
    <w:rsid w:val="00BC07E2"/>
    <w:rsid w:val="00BC1C2B"/>
    <w:rsid w:val="00BC1CD2"/>
    <w:rsid w:val="00BC1EBF"/>
    <w:rsid w:val="00BC211D"/>
    <w:rsid w:val="00BC219B"/>
    <w:rsid w:val="00BC25BA"/>
    <w:rsid w:val="00BC310C"/>
    <w:rsid w:val="00BC350D"/>
    <w:rsid w:val="00BC351B"/>
    <w:rsid w:val="00BC3C01"/>
    <w:rsid w:val="00BC3D85"/>
    <w:rsid w:val="00BC4BF3"/>
    <w:rsid w:val="00BC5732"/>
    <w:rsid w:val="00BC57BD"/>
    <w:rsid w:val="00BC712D"/>
    <w:rsid w:val="00BC75CB"/>
    <w:rsid w:val="00BC78CC"/>
    <w:rsid w:val="00BC7C6B"/>
    <w:rsid w:val="00BC7CBB"/>
    <w:rsid w:val="00BD06DF"/>
    <w:rsid w:val="00BD1887"/>
    <w:rsid w:val="00BD199E"/>
    <w:rsid w:val="00BD2043"/>
    <w:rsid w:val="00BD207C"/>
    <w:rsid w:val="00BD226D"/>
    <w:rsid w:val="00BD2316"/>
    <w:rsid w:val="00BD2A10"/>
    <w:rsid w:val="00BD2FA5"/>
    <w:rsid w:val="00BD3146"/>
    <w:rsid w:val="00BD394A"/>
    <w:rsid w:val="00BD3BE3"/>
    <w:rsid w:val="00BD3F9E"/>
    <w:rsid w:val="00BD49AB"/>
    <w:rsid w:val="00BD4AED"/>
    <w:rsid w:val="00BD4E87"/>
    <w:rsid w:val="00BD5D91"/>
    <w:rsid w:val="00BD5F28"/>
    <w:rsid w:val="00BD77E4"/>
    <w:rsid w:val="00BD7DE1"/>
    <w:rsid w:val="00BE01B8"/>
    <w:rsid w:val="00BE0F1F"/>
    <w:rsid w:val="00BE12A7"/>
    <w:rsid w:val="00BE14A8"/>
    <w:rsid w:val="00BE191C"/>
    <w:rsid w:val="00BE272C"/>
    <w:rsid w:val="00BE33ED"/>
    <w:rsid w:val="00BE42F9"/>
    <w:rsid w:val="00BE45EA"/>
    <w:rsid w:val="00BE4699"/>
    <w:rsid w:val="00BE4AC6"/>
    <w:rsid w:val="00BE4BAE"/>
    <w:rsid w:val="00BE5330"/>
    <w:rsid w:val="00BE5E8D"/>
    <w:rsid w:val="00BE72EE"/>
    <w:rsid w:val="00BE7432"/>
    <w:rsid w:val="00BE7663"/>
    <w:rsid w:val="00BF0054"/>
    <w:rsid w:val="00BF0638"/>
    <w:rsid w:val="00BF0BF6"/>
    <w:rsid w:val="00BF18AD"/>
    <w:rsid w:val="00BF191B"/>
    <w:rsid w:val="00BF1AA6"/>
    <w:rsid w:val="00BF1BF7"/>
    <w:rsid w:val="00BF235D"/>
    <w:rsid w:val="00BF245A"/>
    <w:rsid w:val="00BF2C2E"/>
    <w:rsid w:val="00BF2FC1"/>
    <w:rsid w:val="00BF35AB"/>
    <w:rsid w:val="00BF3DCD"/>
    <w:rsid w:val="00BF3F86"/>
    <w:rsid w:val="00BF3F8D"/>
    <w:rsid w:val="00BF462F"/>
    <w:rsid w:val="00BF4787"/>
    <w:rsid w:val="00BF4C27"/>
    <w:rsid w:val="00BF4C8F"/>
    <w:rsid w:val="00BF6E68"/>
    <w:rsid w:val="00BF75C6"/>
    <w:rsid w:val="00BF78AA"/>
    <w:rsid w:val="00BF7AC9"/>
    <w:rsid w:val="00C00A93"/>
    <w:rsid w:val="00C00AFF"/>
    <w:rsid w:val="00C0157C"/>
    <w:rsid w:val="00C01942"/>
    <w:rsid w:val="00C019C4"/>
    <w:rsid w:val="00C02056"/>
    <w:rsid w:val="00C023B2"/>
    <w:rsid w:val="00C02FC8"/>
    <w:rsid w:val="00C03799"/>
    <w:rsid w:val="00C040D9"/>
    <w:rsid w:val="00C04933"/>
    <w:rsid w:val="00C04D88"/>
    <w:rsid w:val="00C04DCE"/>
    <w:rsid w:val="00C0573E"/>
    <w:rsid w:val="00C06858"/>
    <w:rsid w:val="00C06B84"/>
    <w:rsid w:val="00C074CA"/>
    <w:rsid w:val="00C074CC"/>
    <w:rsid w:val="00C07587"/>
    <w:rsid w:val="00C07680"/>
    <w:rsid w:val="00C07C0A"/>
    <w:rsid w:val="00C07F31"/>
    <w:rsid w:val="00C10225"/>
    <w:rsid w:val="00C104E2"/>
    <w:rsid w:val="00C107DF"/>
    <w:rsid w:val="00C114C3"/>
    <w:rsid w:val="00C1182D"/>
    <w:rsid w:val="00C11C8E"/>
    <w:rsid w:val="00C11CB2"/>
    <w:rsid w:val="00C12201"/>
    <w:rsid w:val="00C122C9"/>
    <w:rsid w:val="00C129CA"/>
    <w:rsid w:val="00C12A09"/>
    <w:rsid w:val="00C12BD7"/>
    <w:rsid w:val="00C12CD5"/>
    <w:rsid w:val="00C12F33"/>
    <w:rsid w:val="00C13CBA"/>
    <w:rsid w:val="00C13D9E"/>
    <w:rsid w:val="00C1428F"/>
    <w:rsid w:val="00C14398"/>
    <w:rsid w:val="00C148D1"/>
    <w:rsid w:val="00C14B6F"/>
    <w:rsid w:val="00C14E3F"/>
    <w:rsid w:val="00C15121"/>
    <w:rsid w:val="00C158C3"/>
    <w:rsid w:val="00C15A6F"/>
    <w:rsid w:val="00C15B67"/>
    <w:rsid w:val="00C1604A"/>
    <w:rsid w:val="00C167A8"/>
    <w:rsid w:val="00C1681B"/>
    <w:rsid w:val="00C16F3D"/>
    <w:rsid w:val="00C17534"/>
    <w:rsid w:val="00C17623"/>
    <w:rsid w:val="00C17F07"/>
    <w:rsid w:val="00C20269"/>
    <w:rsid w:val="00C20C13"/>
    <w:rsid w:val="00C20FB9"/>
    <w:rsid w:val="00C21024"/>
    <w:rsid w:val="00C21213"/>
    <w:rsid w:val="00C213B9"/>
    <w:rsid w:val="00C219B8"/>
    <w:rsid w:val="00C229BF"/>
    <w:rsid w:val="00C22CAC"/>
    <w:rsid w:val="00C236BD"/>
    <w:rsid w:val="00C23B57"/>
    <w:rsid w:val="00C24E82"/>
    <w:rsid w:val="00C2509F"/>
    <w:rsid w:val="00C25403"/>
    <w:rsid w:val="00C254CD"/>
    <w:rsid w:val="00C25A2C"/>
    <w:rsid w:val="00C26341"/>
    <w:rsid w:val="00C269A7"/>
    <w:rsid w:val="00C26E6D"/>
    <w:rsid w:val="00C27315"/>
    <w:rsid w:val="00C27958"/>
    <w:rsid w:val="00C27C2F"/>
    <w:rsid w:val="00C27FE1"/>
    <w:rsid w:val="00C30005"/>
    <w:rsid w:val="00C314A6"/>
    <w:rsid w:val="00C32150"/>
    <w:rsid w:val="00C32398"/>
    <w:rsid w:val="00C32534"/>
    <w:rsid w:val="00C32624"/>
    <w:rsid w:val="00C332CB"/>
    <w:rsid w:val="00C3352B"/>
    <w:rsid w:val="00C33A81"/>
    <w:rsid w:val="00C34D6A"/>
    <w:rsid w:val="00C35A87"/>
    <w:rsid w:val="00C365CE"/>
    <w:rsid w:val="00C3734B"/>
    <w:rsid w:val="00C37BD9"/>
    <w:rsid w:val="00C40B4C"/>
    <w:rsid w:val="00C40CA0"/>
    <w:rsid w:val="00C4132D"/>
    <w:rsid w:val="00C41386"/>
    <w:rsid w:val="00C418B2"/>
    <w:rsid w:val="00C427BF"/>
    <w:rsid w:val="00C42B43"/>
    <w:rsid w:val="00C42BC0"/>
    <w:rsid w:val="00C43004"/>
    <w:rsid w:val="00C43F69"/>
    <w:rsid w:val="00C441F6"/>
    <w:rsid w:val="00C457BC"/>
    <w:rsid w:val="00C459BC"/>
    <w:rsid w:val="00C46041"/>
    <w:rsid w:val="00C46AC1"/>
    <w:rsid w:val="00C47491"/>
    <w:rsid w:val="00C4749C"/>
    <w:rsid w:val="00C47AB2"/>
    <w:rsid w:val="00C5009B"/>
    <w:rsid w:val="00C5054F"/>
    <w:rsid w:val="00C50866"/>
    <w:rsid w:val="00C51644"/>
    <w:rsid w:val="00C522A7"/>
    <w:rsid w:val="00C52324"/>
    <w:rsid w:val="00C53E8E"/>
    <w:rsid w:val="00C53F74"/>
    <w:rsid w:val="00C54004"/>
    <w:rsid w:val="00C54680"/>
    <w:rsid w:val="00C548DE"/>
    <w:rsid w:val="00C55051"/>
    <w:rsid w:val="00C55D7B"/>
    <w:rsid w:val="00C55E25"/>
    <w:rsid w:val="00C56106"/>
    <w:rsid w:val="00C56324"/>
    <w:rsid w:val="00C56365"/>
    <w:rsid w:val="00C56FC9"/>
    <w:rsid w:val="00C57015"/>
    <w:rsid w:val="00C574F3"/>
    <w:rsid w:val="00C57987"/>
    <w:rsid w:val="00C57B03"/>
    <w:rsid w:val="00C60BE2"/>
    <w:rsid w:val="00C60BFA"/>
    <w:rsid w:val="00C61B8A"/>
    <w:rsid w:val="00C625EA"/>
    <w:rsid w:val="00C63FCC"/>
    <w:rsid w:val="00C64108"/>
    <w:rsid w:val="00C646D5"/>
    <w:rsid w:val="00C64ACE"/>
    <w:rsid w:val="00C64E38"/>
    <w:rsid w:val="00C65340"/>
    <w:rsid w:val="00C6539D"/>
    <w:rsid w:val="00C65407"/>
    <w:rsid w:val="00C6585A"/>
    <w:rsid w:val="00C6598C"/>
    <w:rsid w:val="00C65D21"/>
    <w:rsid w:val="00C6603A"/>
    <w:rsid w:val="00C6689E"/>
    <w:rsid w:val="00C67961"/>
    <w:rsid w:val="00C67A6F"/>
    <w:rsid w:val="00C67C09"/>
    <w:rsid w:val="00C67C0E"/>
    <w:rsid w:val="00C704C1"/>
    <w:rsid w:val="00C705B6"/>
    <w:rsid w:val="00C70780"/>
    <w:rsid w:val="00C708A1"/>
    <w:rsid w:val="00C70D32"/>
    <w:rsid w:val="00C71037"/>
    <w:rsid w:val="00C711F8"/>
    <w:rsid w:val="00C71502"/>
    <w:rsid w:val="00C71777"/>
    <w:rsid w:val="00C71927"/>
    <w:rsid w:val="00C71CF5"/>
    <w:rsid w:val="00C71EFD"/>
    <w:rsid w:val="00C723E3"/>
    <w:rsid w:val="00C72B7F"/>
    <w:rsid w:val="00C7398B"/>
    <w:rsid w:val="00C73CB3"/>
    <w:rsid w:val="00C74330"/>
    <w:rsid w:val="00C7452E"/>
    <w:rsid w:val="00C7487C"/>
    <w:rsid w:val="00C75324"/>
    <w:rsid w:val="00C75B33"/>
    <w:rsid w:val="00C75C1A"/>
    <w:rsid w:val="00C75DB1"/>
    <w:rsid w:val="00C779B2"/>
    <w:rsid w:val="00C80D2F"/>
    <w:rsid w:val="00C80EA2"/>
    <w:rsid w:val="00C83159"/>
    <w:rsid w:val="00C83627"/>
    <w:rsid w:val="00C83C36"/>
    <w:rsid w:val="00C83C53"/>
    <w:rsid w:val="00C84592"/>
    <w:rsid w:val="00C84986"/>
    <w:rsid w:val="00C84B81"/>
    <w:rsid w:val="00C852C8"/>
    <w:rsid w:val="00C86C87"/>
    <w:rsid w:val="00C86CAD"/>
    <w:rsid w:val="00C86CB1"/>
    <w:rsid w:val="00C872A3"/>
    <w:rsid w:val="00C87552"/>
    <w:rsid w:val="00C87A20"/>
    <w:rsid w:val="00C87B38"/>
    <w:rsid w:val="00C906C5"/>
    <w:rsid w:val="00C91100"/>
    <w:rsid w:val="00C911B6"/>
    <w:rsid w:val="00C91512"/>
    <w:rsid w:val="00C91723"/>
    <w:rsid w:val="00C91880"/>
    <w:rsid w:val="00C92122"/>
    <w:rsid w:val="00C921E5"/>
    <w:rsid w:val="00C927E8"/>
    <w:rsid w:val="00C93D64"/>
    <w:rsid w:val="00C93FAA"/>
    <w:rsid w:val="00C942D8"/>
    <w:rsid w:val="00C9432D"/>
    <w:rsid w:val="00C9486E"/>
    <w:rsid w:val="00C94C63"/>
    <w:rsid w:val="00C94D60"/>
    <w:rsid w:val="00C95182"/>
    <w:rsid w:val="00C9529F"/>
    <w:rsid w:val="00C95443"/>
    <w:rsid w:val="00C9577F"/>
    <w:rsid w:val="00C9639A"/>
    <w:rsid w:val="00C9653F"/>
    <w:rsid w:val="00C96588"/>
    <w:rsid w:val="00C97D34"/>
    <w:rsid w:val="00C97F98"/>
    <w:rsid w:val="00CA00E3"/>
    <w:rsid w:val="00CA02F9"/>
    <w:rsid w:val="00CA0844"/>
    <w:rsid w:val="00CA0941"/>
    <w:rsid w:val="00CA1976"/>
    <w:rsid w:val="00CA1FDD"/>
    <w:rsid w:val="00CA25C0"/>
    <w:rsid w:val="00CA2D2F"/>
    <w:rsid w:val="00CA2FC6"/>
    <w:rsid w:val="00CA3552"/>
    <w:rsid w:val="00CA3732"/>
    <w:rsid w:val="00CA4252"/>
    <w:rsid w:val="00CA45BD"/>
    <w:rsid w:val="00CA4939"/>
    <w:rsid w:val="00CA546D"/>
    <w:rsid w:val="00CA58E2"/>
    <w:rsid w:val="00CA61D9"/>
    <w:rsid w:val="00CA64B7"/>
    <w:rsid w:val="00CA712B"/>
    <w:rsid w:val="00CA71B5"/>
    <w:rsid w:val="00CA76DD"/>
    <w:rsid w:val="00CA78FC"/>
    <w:rsid w:val="00CB09E9"/>
    <w:rsid w:val="00CB1052"/>
    <w:rsid w:val="00CB12A2"/>
    <w:rsid w:val="00CB33CD"/>
    <w:rsid w:val="00CB34D8"/>
    <w:rsid w:val="00CB40B8"/>
    <w:rsid w:val="00CB41E1"/>
    <w:rsid w:val="00CB4491"/>
    <w:rsid w:val="00CB5A08"/>
    <w:rsid w:val="00CB5D89"/>
    <w:rsid w:val="00CB797C"/>
    <w:rsid w:val="00CC00C4"/>
    <w:rsid w:val="00CC0C32"/>
    <w:rsid w:val="00CC1000"/>
    <w:rsid w:val="00CC260F"/>
    <w:rsid w:val="00CC340A"/>
    <w:rsid w:val="00CC3AD7"/>
    <w:rsid w:val="00CC42E8"/>
    <w:rsid w:val="00CC4A72"/>
    <w:rsid w:val="00CC4DB8"/>
    <w:rsid w:val="00CC4FB7"/>
    <w:rsid w:val="00CC504B"/>
    <w:rsid w:val="00CC5432"/>
    <w:rsid w:val="00CC5AAE"/>
    <w:rsid w:val="00CC5CAE"/>
    <w:rsid w:val="00CC6751"/>
    <w:rsid w:val="00CC6DDF"/>
    <w:rsid w:val="00CC6E3D"/>
    <w:rsid w:val="00CC70A8"/>
    <w:rsid w:val="00CC762F"/>
    <w:rsid w:val="00CC797F"/>
    <w:rsid w:val="00CC7C40"/>
    <w:rsid w:val="00CC7FB4"/>
    <w:rsid w:val="00CD023F"/>
    <w:rsid w:val="00CD02B1"/>
    <w:rsid w:val="00CD05FA"/>
    <w:rsid w:val="00CD0B5C"/>
    <w:rsid w:val="00CD0BA4"/>
    <w:rsid w:val="00CD10B1"/>
    <w:rsid w:val="00CD11A5"/>
    <w:rsid w:val="00CD15D5"/>
    <w:rsid w:val="00CD1628"/>
    <w:rsid w:val="00CD173D"/>
    <w:rsid w:val="00CD19BA"/>
    <w:rsid w:val="00CD1A6B"/>
    <w:rsid w:val="00CD1F36"/>
    <w:rsid w:val="00CD29F1"/>
    <w:rsid w:val="00CD2A86"/>
    <w:rsid w:val="00CD2EC7"/>
    <w:rsid w:val="00CD326A"/>
    <w:rsid w:val="00CD32E7"/>
    <w:rsid w:val="00CD342E"/>
    <w:rsid w:val="00CD3B44"/>
    <w:rsid w:val="00CD4E20"/>
    <w:rsid w:val="00CD5426"/>
    <w:rsid w:val="00CD5496"/>
    <w:rsid w:val="00CD55F1"/>
    <w:rsid w:val="00CD593B"/>
    <w:rsid w:val="00CD5A3C"/>
    <w:rsid w:val="00CD5EF9"/>
    <w:rsid w:val="00CD6C94"/>
    <w:rsid w:val="00CD74B2"/>
    <w:rsid w:val="00CD796F"/>
    <w:rsid w:val="00CE00CF"/>
    <w:rsid w:val="00CE0585"/>
    <w:rsid w:val="00CE14D6"/>
    <w:rsid w:val="00CE1765"/>
    <w:rsid w:val="00CE254A"/>
    <w:rsid w:val="00CE2DA6"/>
    <w:rsid w:val="00CE387C"/>
    <w:rsid w:val="00CE393A"/>
    <w:rsid w:val="00CE4B71"/>
    <w:rsid w:val="00CE60D3"/>
    <w:rsid w:val="00CE6AE8"/>
    <w:rsid w:val="00CE6B97"/>
    <w:rsid w:val="00CE7260"/>
    <w:rsid w:val="00CE7656"/>
    <w:rsid w:val="00CE7670"/>
    <w:rsid w:val="00CE77CB"/>
    <w:rsid w:val="00CE7B52"/>
    <w:rsid w:val="00CE7E31"/>
    <w:rsid w:val="00CF0728"/>
    <w:rsid w:val="00CF0FD5"/>
    <w:rsid w:val="00CF195D"/>
    <w:rsid w:val="00CF2322"/>
    <w:rsid w:val="00CF2365"/>
    <w:rsid w:val="00CF2438"/>
    <w:rsid w:val="00CF2536"/>
    <w:rsid w:val="00CF2642"/>
    <w:rsid w:val="00CF2683"/>
    <w:rsid w:val="00CF2813"/>
    <w:rsid w:val="00CF3FE0"/>
    <w:rsid w:val="00CF46AA"/>
    <w:rsid w:val="00CF47A3"/>
    <w:rsid w:val="00CF4AEC"/>
    <w:rsid w:val="00CF57EA"/>
    <w:rsid w:val="00CF5A61"/>
    <w:rsid w:val="00CF5D25"/>
    <w:rsid w:val="00CF5E15"/>
    <w:rsid w:val="00CF6264"/>
    <w:rsid w:val="00CF692A"/>
    <w:rsid w:val="00CF7963"/>
    <w:rsid w:val="00D0011C"/>
    <w:rsid w:val="00D0020E"/>
    <w:rsid w:val="00D0029D"/>
    <w:rsid w:val="00D003A8"/>
    <w:rsid w:val="00D00D63"/>
    <w:rsid w:val="00D014D3"/>
    <w:rsid w:val="00D0171B"/>
    <w:rsid w:val="00D025F2"/>
    <w:rsid w:val="00D0384C"/>
    <w:rsid w:val="00D03A9F"/>
    <w:rsid w:val="00D03C44"/>
    <w:rsid w:val="00D03E8C"/>
    <w:rsid w:val="00D042BA"/>
    <w:rsid w:val="00D042E6"/>
    <w:rsid w:val="00D04331"/>
    <w:rsid w:val="00D05464"/>
    <w:rsid w:val="00D05498"/>
    <w:rsid w:val="00D0571B"/>
    <w:rsid w:val="00D05E9B"/>
    <w:rsid w:val="00D060BA"/>
    <w:rsid w:val="00D067E0"/>
    <w:rsid w:val="00D06AF4"/>
    <w:rsid w:val="00D07020"/>
    <w:rsid w:val="00D072B7"/>
    <w:rsid w:val="00D07613"/>
    <w:rsid w:val="00D10243"/>
    <w:rsid w:val="00D10B54"/>
    <w:rsid w:val="00D10BE3"/>
    <w:rsid w:val="00D11347"/>
    <w:rsid w:val="00D11357"/>
    <w:rsid w:val="00D1191D"/>
    <w:rsid w:val="00D11BB1"/>
    <w:rsid w:val="00D11CA3"/>
    <w:rsid w:val="00D11CAB"/>
    <w:rsid w:val="00D125A5"/>
    <w:rsid w:val="00D1365B"/>
    <w:rsid w:val="00D13C9B"/>
    <w:rsid w:val="00D14433"/>
    <w:rsid w:val="00D14C05"/>
    <w:rsid w:val="00D155F9"/>
    <w:rsid w:val="00D15728"/>
    <w:rsid w:val="00D15B81"/>
    <w:rsid w:val="00D15D2A"/>
    <w:rsid w:val="00D1737E"/>
    <w:rsid w:val="00D17E26"/>
    <w:rsid w:val="00D2068E"/>
    <w:rsid w:val="00D2069C"/>
    <w:rsid w:val="00D20DDC"/>
    <w:rsid w:val="00D2124A"/>
    <w:rsid w:val="00D2157D"/>
    <w:rsid w:val="00D21977"/>
    <w:rsid w:val="00D23052"/>
    <w:rsid w:val="00D23187"/>
    <w:rsid w:val="00D231AF"/>
    <w:rsid w:val="00D2392D"/>
    <w:rsid w:val="00D23C5B"/>
    <w:rsid w:val="00D23E9F"/>
    <w:rsid w:val="00D24E74"/>
    <w:rsid w:val="00D25719"/>
    <w:rsid w:val="00D2599E"/>
    <w:rsid w:val="00D25B33"/>
    <w:rsid w:val="00D25D40"/>
    <w:rsid w:val="00D2613E"/>
    <w:rsid w:val="00D2679D"/>
    <w:rsid w:val="00D26D68"/>
    <w:rsid w:val="00D26E5D"/>
    <w:rsid w:val="00D30746"/>
    <w:rsid w:val="00D30841"/>
    <w:rsid w:val="00D310A1"/>
    <w:rsid w:val="00D3119C"/>
    <w:rsid w:val="00D31364"/>
    <w:rsid w:val="00D32520"/>
    <w:rsid w:val="00D32B61"/>
    <w:rsid w:val="00D32CDF"/>
    <w:rsid w:val="00D3307D"/>
    <w:rsid w:val="00D33536"/>
    <w:rsid w:val="00D344A2"/>
    <w:rsid w:val="00D35548"/>
    <w:rsid w:val="00D35D66"/>
    <w:rsid w:val="00D36819"/>
    <w:rsid w:val="00D3690E"/>
    <w:rsid w:val="00D36B25"/>
    <w:rsid w:val="00D36B73"/>
    <w:rsid w:val="00D36F26"/>
    <w:rsid w:val="00D37845"/>
    <w:rsid w:val="00D37AC2"/>
    <w:rsid w:val="00D40E45"/>
    <w:rsid w:val="00D40FD4"/>
    <w:rsid w:val="00D416F2"/>
    <w:rsid w:val="00D41D9D"/>
    <w:rsid w:val="00D42CC1"/>
    <w:rsid w:val="00D42F14"/>
    <w:rsid w:val="00D43878"/>
    <w:rsid w:val="00D438AC"/>
    <w:rsid w:val="00D439FA"/>
    <w:rsid w:val="00D43D64"/>
    <w:rsid w:val="00D4433C"/>
    <w:rsid w:val="00D448C6"/>
    <w:rsid w:val="00D44A74"/>
    <w:rsid w:val="00D44CD2"/>
    <w:rsid w:val="00D45804"/>
    <w:rsid w:val="00D46821"/>
    <w:rsid w:val="00D47AB5"/>
    <w:rsid w:val="00D50C1E"/>
    <w:rsid w:val="00D51290"/>
    <w:rsid w:val="00D527BD"/>
    <w:rsid w:val="00D52E19"/>
    <w:rsid w:val="00D538DA"/>
    <w:rsid w:val="00D53D87"/>
    <w:rsid w:val="00D551F4"/>
    <w:rsid w:val="00D55FC5"/>
    <w:rsid w:val="00D561E3"/>
    <w:rsid w:val="00D566D7"/>
    <w:rsid w:val="00D5681A"/>
    <w:rsid w:val="00D56DB1"/>
    <w:rsid w:val="00D5705E"/>
    <w:rsid w:val="00D57380"/>
    <w:rsid w:val="00D60D4C"/>
    <w:rsid w:val="00D614B8"/>
    <w:rsid w:val="00D61739"/>
    <w:rsid w:val="00D61BE0"/>
    <w:rsid w:val="00D622DD"/>
    <w:rsid w:val="00D62C13"/>
    <w:rsid w:val="00D62C85"/>
    <w:rsid w:val="00D63795"/>
    <w:rsid w:val="00D63B52"/>
    <w:rsid w:val="00D641DE"/>
    <w:rsid w:val="00D642AF"/>
    <w:rsid w:val="00D64DBF"/>
    <w:rsid w:val="00D64F0B"/>
    <w:rsid w:val="00D65934"/>
    <w:rsid w:val="00D659E5"/>
    <w:rsid w:val="00D663A4"/>
    <w:rsid w:val="00D705E4"/>
    <w:rsid w:val="00D70BCB"/>
    <w:rsid w:val="00D719DB"/>
    <w:rsid w:val="00D71E7C"/>
    <w:rsid w:val="00D7287F"/>
    <w:rsid w:val="00D728D8"/>
    <w:rsid w:val="00D72C7A"/>
    <w:rsid w:val="00D735BA"/>
    <w:rsid w:val="00D73B37"/>
    <w:rsid w:val="00D747B5"/>
    <w:rsid w:val="00D749BD"/>
    <w:rsid w:val="00D764D7"/>
    <w:rsid w:val="00D765E2"/>
    <w:rsid w:val="00D76777"/>
    <w:rsid w:val="00D76A6F"/>
    <w:rsid w:val="00D76AF6"/>
    <w:rsid w:val="00D77099"/>
    <w:rsid w:val="00D772B2"/>
    <w:rsid w:val="00D80418"/>
    <w:rsid w:val="00D806CA"/>
    <w:rsid w:val="00D80C07"/>
    <w:rsid w:val="00D80F6F"/>
    <w:rsid w:val="00D819E7"/>
    <w:rsid w:val="00D82EC8"/>
    <w:rsid w:val="00D83927"/>
    <w:rsid w:val="00D8460C"/>
    <w:rsid w:val="00D84E71"/>
    <w:rsid w:val="00D86843"/>
    <w:rsid w:val="00D86F13"/>
    <w:rsid w:val="00D877FD"/>
    <w:rsid w:val="00D87B21"/>
    <w:rsid w:val="00D900EE"/>
    <w:rsid w:val="00D901E6"/>
    <w:rsid w:val="00D904D0"/>
    <w:rsid w:val="00D905EC"/>
    <w:rsid w:val="00D913F2"/>
    <w:rsid w:val="00D91BA2"/>
    <w:rsid w:val="00D92A8C"/>
    <w:rsid w:val="00D92F7F"/>
    <w:rsid w:val="00D93C75"/>
    <w:rsid w:val="00D944A0"/>
    <w:rsid w:val="00D94AE6"/>
    <w:rsid w:val="00D956D5"/>
    <w:rsid w:val="00D95C11"/>
    <w:rsid w:val="00D963DD"/>
    <w:rsid w:val="00D96E9D"/>
    <w:rsid w:val="00D97C1D"/>
    <w:rsid w:val="00DA00D1"/>
    <w:rsid w:val="00DA0505"/>
    <w:rsid w:val="00DA0692"/>
    <w:rsid w:val="00DA079B"/>
    <w:rsid w:val="00DA0ABB"/>
    <w:rsid w:val="00DA0F19"/>
    <w:rsid w:val="00DA1082"/>
    <w:rsid w:val="00DA11F6"/>
    <w:rsid w:val="00DA1A5F"/>
    <w:rsid w:val="00DA1BB9"/>
    <w:rsid w:val="00DA2A83"/>
    <w:rsid w:val="00DA2C8C"/>
    <w:rsid w:val="00DA2E3F"/>
    <w:rsid w:val="00DA3369"/>
    <w:rsid w:val="00DA3702"/>
    <w:rsid w:val="00DA3C15"/>
    <w:rsid w:val="00DA48B4"/>
    <w:rsid w:val="00DA4C7C"/>
    <w:rsid w:val="00DA5495"/>
    <w:rsid w:val="00DA5B0B"/>
    <w:rsid w:val="00DA697C"/>
    <w:rsid w:val="00DA6B28"/>
    <w:rsid w:val="00DB02D0"/>
    <w:rsid w:val="00DB0CA8"/>
    <w:rsid w:val="00DB1407"/>
    <w:rsid w:val="00DB185E"/>
    <w:rsid w:val="00DB1C00"/>
    <w:rsid w:val="00DB403F"/>
    <w:rsid w:val="00DB457D"/>
    <w:rsid w:val="00DB47E9"/>
    <w:rsid w:val="00DB4894"/>
    <w:rsid w:val="00DB4E9D"/>
    <w:rsid w:val="00DB5382"/>
    <w:rsid w:val="00DB5536"/>
    <w:rsid w:val="00DB58C0"/>
    <w:rsid w:val="00DB6774"/>
    <w:rsid w:val="00DB6C84"/>
    <w:rsid w:val="00DB6C8F"/>
    <w:rsid w:val="00DB7042"/>
    <w:rsid w:val="00DB7378"/>
    <w:rsid w:val="00DB7452"/>
    <w:rsid w:val="00DB7534"/>
    <w:rsid w:val="00DB7606"/>
    <w:rsid w:val="00DB7971"/>
    <w:rsid w:val="00DB7E7A"/>
    <w:rsid w:val="00DC06AA"/>
    <w:rsid w:val="00DC0E3A"/>
    <w:rsid w:val="00DC1191"/>
    <w:rsid w:val="00DC260A"/>
    <w:rsid w:val="00DC2AE4"/>
    <w:rsid w:val="00DC2B0F"/>
    <w:rsid w:val="00DC2FC0"/>
    <w:rsid w:val="00DC3332"/>
    <w:rsid w:val="00DC3945"/>
    <w:rsid w:val="00DC44A4"/>
    <w:rsid w:val="00DC531B"/>
    <w:rsid w:val="00DC5B5B"/>
    <w:rsid w:val="00DC5B70"/>
    <w:rsid w:val="00DC6BA9"/>
    <w:rsid w:val="00DC6F72"/>
    <w:rsid w:val="00DC72A3"/>
    <w:rsid w:val="00DC7F06"/>
    <w:rsid w:val="00DC7F3D"/>
    <w:rsid w:val="00DD01C1"/>
    <w:rsid w:val="00DD0500"/>
    <w:rsid w:val="00DD07E6"/>
    <w:rsid w:val="00DD11CC"/>
    <w:rsid w:val="00DD12B9"/>
    <w:rsid w:val="00DD1CC5"/>
    <w:rsid w:val="00DD1EE5"/>
    <w:rsid w:val="00DD22B2"/>
    <w:rsid w:val="00DD256F"/>
    <w:rsid w:val="00DD2911"/>
    <w:rsid w:val="00DD38C0"/>
    <w:rsid w:val="00DD3946"/>
    <w:rsid w:val="00DD4A89"/>
    <w:rsid w:val="00DD5263"/>
    <w:rsid w:val="00DD5575"/>
    <w:rsid w:val="00DD56D9"/>
    <w:rsid w:val="00DD5F05"/>
    <w:rsid w:val="00DD6431"/>
    <w:rsid w:val="00DD6769"/>
    <w:rsid w:val="00DD67DB"/>
    <w:rsid w:val="00DD6CDB"/>
    <w:rsid w:val="00DD6D41"/>
    <w:rsid w:val="00DD6DB1"/>
    <w:rsid w:val="00DD790E"/>
    <w:rsid w:val="00DD7F21"/>
    <w:rsid w:val="00DE0C4F"/>
    <w:rsid w:val="00DE1271"/>
    <w:rsid w:val="00DE1980"/>
    <w:rsid w:val="00DE2764"/>
    <w:rsid w:val="00DE283D"/>
    <w:rsid w:val="00DE312D"/>
    <w:rsid w:val="00DE39FA"/>
    <w:rsid w:val="00DE45A8"/>
    <w:rsid w:val="00DE483C"/>
    <w:rsid w:val="00DE6A5A"/>
    <w:rsid w:val="00DE6B75"/>
    <w:rsid w:val="00DF1A41"/>
    <w:rsid w:val="00DF1FAF"/>
    <w:rsid w:val="00DF2650"/>
    <w:rsid w:val="00DF2B10"/>
    <w:rsid w:val="00DF2B34"/>
    <w:rsid w:val="00DF2C46"/>
    <w:rsid w:val="00DF3225"/>
    <w:rsid w:val="00DF3777"/>
    <w:rsid w:val="00DF38D2"/>
    <w:rsid w:val="00DF41E6"/>
    <w:rsid w:val="00DF4465"/>
    <w:rsid w:val="00DF447B"/>
    <w:rsid w:val="00DF5113"/>
    <w:rsid w:val="00DF5A5A"/>
    <w:rsid w:val="00DF5BF0"/>
    <w:rsid w:val="00DF6016"/>
    <w:rsid w:val="00DF6345"/>
    <w:rsid w:val="00DF6D0C"/>
    <w:rsid w:val="00DF6F11"/>
    <w:rsid w:val="00DF7774"/>
    <w:rsid w:val="00DF7B23"/>
    <w:rsid w:val="00E000C4"/>
    <w:rsid w:val="00E00740"/>
    <w:rsid w:val="00E00ABE"/>
    <w:rsid w:val="00E017B2"/>
    <w:rsid w:val="00E0233D"/>
    <w:rsid w:val="00E02A77"/>
    <w:rsid w:val="00E03EF3"/>
    <w:rsid w:val="00E048EF"/>
    <w:rsid w:val="00E05150"/>
    <w:rsid w:val="00E055AC"/>
    <w:rsid w:val="00E06413"/>
    <w:rsid w:val="00E06C7F"/>
    <w:rsid w:val="00E07632"/>
    <w:rsid w:val="00E0778D"/>
    <w:rsid w:val="00E077C7"/>
    <w:rsid w:val="00E07EF8"/>
    <w:rsid w:val="00E1079A"/>
    <w:rsid w:val="00E1085C"/>
    <w:rsid w:val="00E10D38"/>
    <w:rsid w:val="00E11653"/>
    <w:rsid w:val="00E11799"/>
    <w:rsid w:val="00E1193D"/>
    <w:rsid w:val="00E11D3A"/>
    <w:rsid w:val="00E1216F"/>
    <w:rsid w:val="00E1280E"/>
    <w:rsid w:val="00E12C3A"/>
    <w:rsid w:val="00E133B7"/>
    <w:rsid w:val="00E154EF"/>
    <w:rsid w:val="00E1605D"/>
    <w:rsid w:val="00E16869"/>
    <w:rsid w:val="00E16EB5"/>
    <w:rsid w:val="00E16ECD"/>
    <w:rsid w:val="00E172D4"/>
    <w:rsid w:val="00E175E2"/>
    <w:rsid w:val="00E176E2"/>
    <w:rsid w:val="00E17D60"/>
    <w:rsid w:val="00E2026A"/>
    <w:rsid w:val="00E20496"/>
    <w:rsid w:val="00E20728"/>
    <w:rsid w:val="00E20B10"/>
    <w:rsid w:val="00E210F7"/>
    <w:rsid w:val="00E231D7"/>
    <w:rsid w:val="00E2337A"/>
    <w:rsid w:val="00E24624"/>
    <w:rsid w:val="00E24F10"/>
    <w:rsid w:val="00E257FF"/>
    <w:rsid w:val="00E25A49"/>
    <w:rsid w:val="00E25FA9"/>
    <w:rsid w:val="00E266A3"/>
    <w:rsid w:val="00E2764B"/>
    <w:rsid w:val="00E27EA9"/>
    <w:rsid w:val="00E27F47"/>
    <w:rsid w:val="00E304D3"/>
    <w:rsid w:val="00E306CF"/>
    <w:rsid w:val="00E30A48"/>
    <w:rsid w:val="00E31B3F"/>
    <w:rsid w:val="00E3241A"/>
    <w:rsid w:val="00E32FB4"/>
    <w:rsid w:val="00E33360"/>
    <w:rsid w:val="00E337E6"/>
    <w:rsid w:val="00E33EDF"/>
    <w:rsid w:val="00E3401F"/>
    <w:rsid w:val="00E3420E"/>
    <w:rsid w:val="00E35002"/>
    <w:rsid w:val="00E358BA"/>
    <w:rsid w:val="00E35BCE"/>
    <w:rsid w:val="00E35C37"/>
    <w:rsid w:val="00E363CE"/>
    <w:rsid w:val="00E36E27"/>
    <w:rsid w:val="00E3721A"/>
    <w:rsid w:val="00E37C75"/>
    <w:rsid w:val="00E406CE"/>
    <w:rsid w:val="00E4092D"/>
    <w:rsid w:val="00E40B00"/>
    <w:rsid w:val="00E40E69"/>
    <w:rsid w:val="00E41E77"/>
    <w:rsid w:val="00E41F7F"/>
    <w:rsid w:val="00E423C2"/>
    <w:rsid w:val="00E42731"/>
    <w:rsid w:val="00E42CDE"/>
    <w:rsid w:val="00E434AE"/>
    <w:rsid w:val="00E43DCB"/>
    <w:rsid w:val="00E440E1"/>
    <w:rsid w:val="00E44446"/>
    <w:rsid w:val="00E45024"/>
    <w:rsid w:val="00E45254"/>
    <w:rsid w:val="00E456A0"/>
    <w:rsid w:val="00E45782"/>
    <w:rsid w:val="00E45910"/>
    <w:rsid w:val="00E45F09"/>
    <w:rsid w:val="00E46598"/>
    <w:rsid w:val="00E466F6"/>
    <w:rsid w:val="00E46962"/>
    <w:rsid w:val="00E4790D"/>
    <w:rsid w:val="00E5007A"/>
    <w:rsid w:val="00E50785"/>
    <w:rsid w:val="00E50A6C"/>
    <w:rsid w:val="00E512EF"/>
    <w:rsid w:val="00E51432"/>
    <w:rsid w:val="00E51F4D"/>
    <w:rsid w:val="00E52452"/>
    <w:rsid w:val="00E52F14"/>
    <w:rsid w:val="00E53091"/>
    <w:rsid w:val="00E53EFD"/>
    <w:rsid w:val="00E54679"/>
    <w:rsid w:val="00E54FD7"/>
    <w:rsid w:val="00E55E06"/>
    <w:rsid w:val="00E55E0D"/>
    <w:rsid w:val="00E56479"/>
    <w:rsid w:val="00E57404"/>
    <w:rsid w:val="00E576E3"/>
    <w:rsid w:val="00E57727"/>
    <w:rsid w:val="00E5782F"/>
    <w:rsid w:val="00E57ACF"/>
    <w:rsid w:val="00E60058"/>
    <w:rsid w:val="00E609AF"/>
    <w:rsid w:val="00E60DD0"/>
    <w:rsid w:val="00E60F5A"/>
    <w:rsid w:val="00E61984"/>
    <w:rsid w:val="00E621A0"/>
    <w:rsid w:val="00E62370"/>
    <w:rsid w:val="00E62EF2"/>
    <w:rsid w:val="00E636B3"/>
    <w:rsid w:val="00E63B18"/>
    <w:rsid w:val="00E63B7D"/>
    <w:rsid w:val="00E642AF"/>
    <w:rsid w:val="00E64FC4"/>
    <w:rsid w:val="00E656B4"/>
    <w:rsid w:val="00E6571C"/>
    <w:rsid w:val="00E6605B"/>
    <w:rsid w:val="00E668BB"/>
    <w:rsid w:val="00E66C25"/>
    <w:rsid w:val="00E66DDF"/>
    <w:rsid w:val="00E67203"/>
    <w:rsid w:val="00E67736"/>
    <w:rsid w:val="00E67B3F"/>
    <w:rsid w:val="00E70124"/>
    <w:rsid w:val="00E70525"/>
    <w:rsid w:val="00E708CD"/>
    <w:rsid w:val="00E70942"/>
    <w:rsid w:val="00E70A67"/>
    <w:rsid w:val="00E70ED7"/>
    <w:rsid w:val="00E720AE"/>
    <w:rsid w:val="00E721F7"/>
    <w:rsid w:val="00E730E5"/>
    <w:rsid w:val="00E7373C"/>
    <w:rsid w:val="00E73AEB"/>
    <w:rsid w:val="00E73BA7"/>
    <w:rsid w:val="00E74A07"/>
    <w:rsid w:val="00E75654"/>
    <w:rsid w:val="00E75C0A"/>
    <w:rsid w:val="00E76F44"/>
    <w:rsid w:val="00E7718F"/>
    <w:rsid w:val="00E77272"/>
    <w:rsid w:val="00E77BCE"/>
    <w:rsid w:val="00E80280"/>
    <w:rsid w:val="00E80412"/>
    <w:rsid w:val="00E8053A"/>
    <w:rsid w:val="00E81B76"/>
    <w:rsid w:val="00E81DF6"/>
    <w:rsid w:val="00E8247C"/>
    <w:rsid w:val="00E826D6"/>
    <w:rsid w:val="00E83B35"/>
    <w:rsid w:val="00E83EF6"/>
    <w:rsid w:val="00E848EE"/>
    <w:rsid w:val="00E84BCE"/>
    <w:rsid w:val="00E84EEA"/>
    <w:rsid w:val="00E859CF"/>
    <w:rsid w:val="00E86288"/>
    <w:rsid w:val="00E8748C"/>
    <w:rsid w:val="00E87699"/>
    <w:rsid w:val="00E87990"/>
    <w:rsid w:val="00E879BD"/>
    <w:rsid w:val="00E87C9B"/>
    <w:rsid w:val="00E918A3"/>
    <w:rsid w:val="00E9192F"/>
    <w:rsid w:val="00E92978"/>
    <w:rsid w:val="00E92EF1"/>
    <w:rsid w:val="00E92F32"/>
    <w:rsid w:val="00E937E2"/>
    <w:rsid w:val="00E938EF"/>
    <w:rsid w:val="00E93B0E"/>
    <w:rsid w:val="00E947C1"/>
    <w:rsid w:val="00E94A2B"/>
    <w:rsid w:val="00E950C6"/>
    <w:rsid w:val="00E95A7E"/>
    <w:rsid w:val="00E95BCE"/>
    <w:rsid w:val="00E96FDD"/>
    <w:rsid w:val="00E9716A"/>
    <w:rsid w:val="00E9745C"/>
    <w:rsid w:val="00E975EC"/>
    <w:rsid w:val="00EA0B43"/>
    <w:rsid w:val="00EA107C"/>
    <w:rsid w:val="00EA1567"/>
    <w:rsid w:val="00EA25CB"/>
    <w:rsid w:val="00EA3046"/>
    <w:rsid w:val="00EA30E7"/>
    <w:rsid w:val="00EA32DA"/>
    <w:rsid w:val="00EA34E0"/>
    <w:rsid w:val="00EA3956"/>
    <w:rsid w:val="00EA498E"/>
    <w:rsid w:val="00EA4E8C"/>
    <w:rsid w:val="00EA574C"/>
    <w:rsid w:val="00EA6D12"/>
    <w:rsid w:val="00EA70EB"/>
    <w:rsid w:val="00EA7BFE"/>
    <w:rsid w:val="00EB0546"/>
    <w:rsid w:val="00EB0F8E"/>
    <w:rsid w:val="00EB290E"/>
    <w:rsid w:val="00EB3698"/>
    <w:rsid w:val="00EB3912"/>
    <w:rsid w:val="00EB4041"/>
    <w:rsid w:val="00EB47BA"/>
    <w:rsid w:val="00EB4923"/>
    <w:rsid w:val="00EB4B05"/>
    <w:rsid w:val="00EB4DD2"/>
    <w:rsid w:val="00EB4F80"/>
    <w:rsid w:val="00EB50B6"/>
    <w:rsid w:val="00EB559C"/>
    <w:rsid w:val="00EB566C"/>
    <w:rsid w:val="00EB5C2A"/>
    <w:rsid w:val="00EB61DA"/>
    <w:rsid w:val="00EB6415"/>
    <w:rsid w:val="00EB641B"/>
    <w:rsid w:val="00EB67E4"/>
    <w:rsid w:val="00EB6DC5"/>
    <w:rsid w:val="00EB6EBA"/>
    <w:rsid w:val="00EB7104"/>
    <w:rsid w:val="00EB7B12"/>
    <w:rsid w:val="00EB7D02"/>
    <w:rsid w:val="00EB7ED2"/>
    <w:rsid w:val="00EC01A9"/>
    <w:rsid w:val="00EC0502"/>
    <w:rsid w:val="00EC0714"/>
    <w:rsid w:val="00EC07D1"/>
    <w:rsid w:val="00EC0C7D"/>
    <w:rsid w:val="00EC0FFE"/>
    <w:rsid w:val="00EC17CF"/>
    <w:rsid w:val="00EC1A17"/>
    <w:rsid w:val="00EC1E10"/>
    <w:rsid w:val="00EC1EAA"/>
    <w:rsid w:val="00EC2190"/>
    <w:rsid w:val="00EC2780"/>
    <w:rsid w:val="00EC3436"/>
    <w:rsid w:val="00EC34BD"/>
    <w:rsid w:val="00EC3E9E"/>
    <w:rsid w:val="00EC413B"/>
    <w:rsid w:val="00EC4B70"/>
    <w:rsid w:val="00EC55FE"/>
    <w:rsid w:val="00EC60F3"/>
    <w:rsid w:val="00EC648C"/>
    <w:rsid w:val="00EC6637"/>
    <w:rsid w:val="00EC69DE"/>
    <w:rsid w:val="00EC72AE"/>
    <w:rsid w:val="00EC7466"/>
    <w:rsid w:val="00EC7676"/>
    <w:rsid w:val="00ED06FE"/>
    <w:rsid w:val="00ED08CF"/>
    <w:rsid w:val="00ED0F38"/>
    <w:rsid w:val="00ED125A"/>
    <w:rsid w:val="00ED180D"/>
    <w:rsid w:val="00ED1CDB"/>
    <w:rsid w:val="00ED232C"/>
    <w:rsid w:val="00ED3124"/>
    <w:rsid w:val="00ED3FF8"/>
    <w:rsid w:val="00ED440A"/>
    <w:rsid w:val="00ED5586"/>
    <w:rsid w:val="00ED5666"/>
    <w:rsid w:val="00ED5BF1"/>
    <w:rsid w:val="00ED69F9"/>
    <w:rsid w:val="00ED6BF0"/>
    <w:rsid w:val="00ED6DAF"/>
    <w:rsid w:val="00ED7151"/>
    <w:rsid w:val="00ED7C11"/>
    <w:rsid w:val="00ED7FCC"/>
    <w:rsid w:val="00EE0463"/>
    <w:rsid w:val="00EE0837"/>
    <w:rsid w:val="00EE0DE4"/>
    <w:rsid w:val="00EE0E4C"/>
    <w:rsid w:val="00EE1080"/>
    <w:rsid w:val="00EE1B2E"/>
    <w:rsid w:val="00EE1BD6"/>
    <w:rsid w:val="00EE1E73"/>
    <w:rsid w:val="00EE2471"/>
    <w:rsid w:val="00EE2650"/>
    <w:rsid w:val="00EE26DE"/>
    <w:rsid w:val="00EE2836"/>
    <w:rsid w:val="00EE2A37"/>
    <w:rsid w:val="00EE3278"/>
    <w:rsid w:val="00EE367A"/>
    <w:rsid w:val="00EE49F6"/>
    <w:rsid w:val="00EE4E3A"/>
    <w:rsid w:val="00EE514A"/>
    <w:rsid w:val="00EE51C4"/>
    <w:rsid w:val="00EE660D"/>
    <w:rsid w:val="00EE6772"/>
    <w:rsid w:val="00EE6D30"/>
    <w:rsid w:val="00EE6FB0"/>
    <w:rsid w:val="00EE770F"/>
    <w:rsid w:val="00EE780D"/>
    <w:rsid w:val="00EF0344"/>
    <w:rsid w:val="00EF100D"/>
    <w:rsid w:val="00EF1109"/>
    <w:rsid w:val="00EF1C45"/>
    <w:rsid w:val="00EF1E0D"/>
    <w:rsid w:val="00EF25B2"/>
    <w:rsid w:val="00EF2910"/>
    <w:rsid w:val="00EF2C21"/>
    <w:rsid w:val="00EF33E1"/>
    <w:rsid w:val="00EF3844"/>
    <w:rsid w:val="00EF3A5F"/>
    <w:rsid w:val="00EF3B5E"/>
    <w:rsid w:val="00EF3FCB"/>
    <w:rsid w:val="00EF4D81"/>
    <w:rsid w:val="00EF5179"/>
    <w:rsid w:val="00EF52BF"/>
    <w:rsid w:val="00EF558B"/>
    <w:rsid w:val="00EF5B31"/>
    <w:rsid w:val="00EF6190"/>
    <w:rsid w:val="00EF7DC8"/>
    <w:rsid w:val="00F001BE"/>
    <w:rsid w:val="00F01676"/>
    <w:rsid w:val="00F01B04"/>
    <w:rsid w:val="00F02196"/>
    <w:rsid w:val="00F0266A"/>
    <w:rsid w:val="00F02D62"/>
    <w:rsid w:val="00F038B2"/>
    <w:rsid w:val="00F03FBB"/>
    <w:rsid w:val="00F05240"/>
    <w:rsid w:val="00F0541A"/>
    <w:rsid w:val="00F06164"/>
    <w:rsid w:val="00F06634"/>
    <w:rsid w:val="00F066A3"/>
    <w:rsid w:val="00F06837"/>
    <w:rsid w:val="00F068BB"/>
    <w:rsid w:val="00F06DB9"/>
    <w:rsid w:val="00F06F7D"/>
    <w:rsid w:val="00F070EB"/>
    <w:rsid w:val="00F072C7"/>
    <w:rsid w:val="00F07B51"/>
    <w:rsid w:val="00F100A3"/>
    <w:rsid w:val="00F10BCE"/>
    <w:rsid w:val="00F10D7B"/>
    <w:rsid w:val="00F1117D"/>
    <w:rsid w:val="00F115CE"/>
    <w:rsid w:val="00F11E39"/>
    <w:rsid w:val="00F12181"/>
    <w:rsid w:val="00F12840"/>
    <w:rsid w:val="00F129DE"/>
    <w:rsid w:val="00F12B58"/>
    <w:rsid w:val="00F12EDF"/>
    <w:rsid w:val="00F12FA7"/>
    <w:rsid w:val="00F133B3"/>
    <w:rsid w:val="00F1367A"/>
    <w:rsid w:val="00F14C66"/>
    <w:rsid w:val="00F152CF"/>
    <w:rsid w:val="00F15785"/>
    <w:rsid w:val="00F15CB8"/>
    <w:rsid w:val="00F1601A"/>
    <w:rsid w:val="00F161F7"/>
    <w:rsid w:val="00F1664E"/>
    <w:rsid w:val="00F168B7"/>
    <w:rsid w:val="00F1741C"/>
    <w:rsid w:val="00F17FB5"/>
    <w:rsid w:val="00F21096"/>
    <w:rsid w:val="00F21887"/>
    <w:rsid w:val="00F21D14"/>
    <w:rsid w:val="00F2228B"/>
    <w:rsid w:val="00F2251E"/>
    <w:rsid w:val="00F22B0E"/>
    <w:rsid w:val="00F22B6E"/>
    <w:rsid w:val="00F23B70"/>
    <w:rsid w:val="00F24686"/>
    <w:rsid w:val="00F2473C"/>
    <w:rsid w:val="00F24D24"/>
    <w:rsid w:val="00F25336"/>
    <w:rsid w:val="00F25E96"/>
    <w:rsid w:val="00F2654D"/>
    <w:rsid w:val="00F26BF6"/>
    <w:rsid w:val="00F275FC"/>
    <w:rsid w:val="00F278ED"/>
    <w:rsid w:val="00F27E86"/>
    <w:rsid w:val="00F27ED0"/>
    <w:rsid w:val="00F30796"/>
    <w:rsid w:val="00F30828"/>
    <w:rsid w:val="00F30869"/>
    <w:rsid w:val="00F31081"/>
    <w:rsid w:val="00F311DF"/>
    <w:rsid w:val="00F31403"/>
    <w:rsid w:val="00F314A4"/>
    <w:rsid w:val="00F31930"/>
    <w:rsid w:val="00F31BA7"/>
    <w:rsid w:val="00F31D49"/>
    <w:rsid w:val="00F32022"/>
    <w:rsid w:val="00F327EC"/>
    <w:rsid w:val="00F32C44"/>
    <w:rsid w:val="00F32D8A"/>
    <w:rsid w:val="00F32F3E"/>
    <w:rsid w:val="00F33624"/>
    <w:rsid w:val="00F3415B"/>
    <w:rsid w:val="00F34173"/>
    <w:rsid w:val="00F34249"/>
    <w:rsid w:val="00F342E2"/>
    <w:rsid w:val="00F3653D"/>
    <w:rsid w:val="00F3667D"/>
    <w:rsid w:val="00F36AC3"/>
    <w:rsid w:val="00F36F7D"/>
    <w:rsid w:val="00F40927"/>
    <w:rsid w:val="00F40DB8"/>
    <w:rsid w:val="00F41C5B"/>
    <w:rsid w:val="00F4237F"/>
    <w:rsid w:val="00F424BF"/>
    <w:rsid w:val="00F42BAC"/>
    <w:rsid w:val="00F4305F"/>
    <w:rsid w:val="00F43596"/>
    <w:rsid w:val="00F43A03"/>
    <w:rsid w:val="00F442DD"/>
    <w:rsid w:val="00F443D2"/>
    <w:rsid w:val="00F44541"/>
    <w:rsid w:val="00F44D4C"/>
    <w:rsid w:val="00F44E4C"/>
    <w:rsid w:val="00F45B11"/>
    <w:rsid w:val="00F463E8"/>
    <w:rsid w:val="00F4664F"/>
    <w:rsid w:val="00F4693E"/>
    <w:rsid w:val="00F46E36"/>
    <w:rsid w:val="00F47BD5"/>
    <w:rsid w:val="00F47DD8"/>
    <w:rsid w:val="00F508EA"/>
    <w:rsid w:val="00F50B4D"/>
    <w:rsid w:val="00F50E93"/>
    <w:rsid w:val="00F512DC"/>
    <w:rsid w:val="00F51761"/>
    <w:rsid w:val="00F517EA"/>
    <w:rsid w:val="00F51AB8"/>
    <w:rsid w:val="00F528EB"/>
    <w:rsid w:val="00F52F0D"/>
    <w:rsid w:val="00F541FB"/>
    <w:rsid w:val="00F543C2"/>
    <w:rsid w:val="00F5460D"/>
    <w:rsid w:val="00F54725"/>
    <w:rsid w:val="00F550CE"/>
    <w:rsid w:val="00F5529E"/>
    <w:rsid w:val="00F55DCE"/>
    <w:rsid w:val="00F55E5E"/>
    <w:rsid w:val="00F56133"/>
    <w:rsid w:val="00F56361"/>
    <w:rsid w:val="00F56872"/>
    <w:rsid w:val="00F56BFB"/>
    <w:rsid w:val="00F57066"/>
    <w:rsid w:val="00F57CEF"/>
    <w:rsid w:val="00F602E0"/>
    <w:rsid w:val="00F6043A"/>
    <w:rsid w:val="00F60EDB"/>
    <w:rsid w:val="00F60EE7"/>
    <w:rsid w:val="00F614AA"/>
    <w:rsid w:val="00F617E0"/>
    <w:rsid w:val="00F61826"/>
    <w:rsid w:val="00F61DF4"/>
    <w:rsid w:val="00F62960"/>
    <w:rsid w:val="00F62CAB"/>
    <w:rsid w:val="00F636C9"/>
    <w:rsid w:val="00F64445"/>
    <w:rsid w:val="00F64919"/>
    <w:rsid w:val="00F64A07"/>
    <w:rsid w:val="00F66B27"/>
    <w:rsid w:val="00F66E28"/>
    <w:rsid w:val="00F6706A"/>
    <w:rsid w:val="00F67AEE"/>
    <w:rsid w:val="00F70A32"/>
    <w:rsid w:val="00F70F5D"/>
    <w:rsid w:val="00F71297"/>
    <w:rsid w:val="00F7151C"/>
    <w:rsid w:val="00F71846"/>
    <w:rsid w:val="00F7226B"/>
    <w:rsid w:val="00F72412"/>
    <w:rsid w:val="00F728A6"/>
    <w:rsid w:val="00F72A56"/>
    <w:rsid w:val="00F72BCA"/>
    <w:rsid w:val="00F73065"/>
    <w:rsid w:val="00F7310C"/>
    <w:rsid w:val="00F73297"/>
    <w:rsid w:val="00F7335A"/>
    <w:rsid w:val="00F741FA"/>
    <w:rsid w:val="00F74ACF"/>
    <w:rsid w:val="00F74EC7"/>
    <w:rsid w:val="00F75259"/>
    <w:rsid w:val="00F76FD7"/>
    <w:rsid w:val="00F77619"/>
    <w:rsid w:val="00F7781B"/>
    <w:rsid w:val="00F805F3"/>
    <w:rsid w:val="00F808DB"/>
    <w:rsid w:val="00F808F4"/>
    <w:rsid w:val="00F8156B"/>
    <w:rsid w:val="00F82640"/>
    <w:rsid w:val="00F82D50"/>
    <w:rsid w:val="00F82F79"/>
    <w:rsid w:val="00F8366B"/>
    <w:rsid w:val="00F836E5"/>
    <w:rsid w:val="00F83E24"/>
    <w:rsid w:val="00F841BC"/>
    <w:rsid w:val="00F8428E"/>
    <w:rsid w:val="00F84AA0"/>
    <w:rsid w:val="00F84B33"/>
    <w:rsid w:val="00F867FF"/>
    <w:rsid w:val="00F86B75"/>
    <w:rsid w:val="00F86D58"/>
    <w:rsid w:val="00F870C5"/>
    <w:rsid w:val="00F87179"/>
    <w:rsid w:val="00F8750E"/>
    <w:rsid w:val="00F87B49"/>
    <w:rsid w:val="00F90019"/>
    <w:rsid w:val="00F90782"/>
    <w:rsid w:val="00F90907"/>
    <w:rsid w:val="00F90C74"/>
    <w:rsid w:val="00F90E18"/>
    <w:rsid w:val="00F90EE1"/>
    <w:rsid w:val="00F91105"/>
    <w:rsid w:val="00F91AFD"/>
    <w:rsid w:val="00F92810"/>
    <w:rsid w:val="00F92A70"/>
    <w:rsid w:val="00F92D94"/>
    <w:rsid w:val="00F93610"/>
    <w:rsid w:val="00F936CB"/>
    <w:rsid w:val="00F939AE"/>
    <w:rsid w:val="00F94C1B"/>
    <w:rsid w:val="00F94DE3"/>
    <w:rsid w:val="00F94F95"/>
    <w:rsid w:val="00F9571D"/>
    <w:rsid w:val="00F962F4"/>
    <w:rsid w:val="00F9696A"/>
    <w:rsid w:val="00F96C8C"/>
    <w:rsid w:val="00F97131"/>
    <w:rsid w:val="00FA097C"/>
    <w:rsid w:val="00FA0AF8"/>
    <w:rsid w:val="00FA0E07"/>
    <w:rsid w:val="00FA12DE"/>
    <w:rsid w:val="00FA2109"/>
    <w:rsid w:val="00FA253B"/>
    <w:rsid w:val="00FA2BEC"/>
    <w:rsid w:val="00FA3266"/>
    <w:rsid w:val="00FA42A6"/>
    <w:rsid w:val="00FA44A5"/>
    <w:rsid w:val="00FA44F6"/>
    <w:rsid w:val="00FA4670"/>
    <w:rsid w:val="00FA528C"/>
    <w:rsid w:val="00FA5600"/>
    <w:rsid w:val="00FA5687"/>
    <w:rsid w:val="00FA5A5B"/>
    <w:rsid w:val="00FA5C88"/>
    <w:rsid w:val="00FA5E6B"/>
    <w:rsid w:val="00FA702C"/>
    <w:rsid w:val="00FA7F57"/>
    <w:rsid w:val="00FB0D5B"/>
    <w:rsid w:val="00FB0ED4"/>
    <w:rsid w:val="00FB0FFD"/>
    <w:rsid w:val="00FB11EE"/>
    <w:rsid w:val="00FB133A"/>
    <w:rsid w:val="00FB13ED"/>
    <w:rsid w:val="00FB1A00"/>
    <w:rsid w:val="00FB1AC4"/>
    <w:rsid w:val="00FB1D59"/>
    <w:rsid w:val="00FB1E3E"/>
    <w:rsid w:val="00FB2A18"/>
    <w:rsid w:val="00FB30DE"/>
    <w:rsid w:val="00FB3C1C"/>
    <w:rsid w:val="00FB4285"/>
    <w:rsid w:val="00FB42D1"/>
    <w:rsid w:val="00FB4E40"/>
    <w:rsid w:val="00FB5AC9"/>
    <w:rsid w:val="00FB5E15"/>
    <w:rsid w:val="00FB5E56"/>
    <w:rsid w:val="00FB5EBF"/>
    <w:rsid w:val="00FB6F1E"/>
    <w:rsid w:val="00FB71EA"/>
    <w:rsid w:val="00FB726A"/>
    <w:rsid w:val="00FB7F9D"/>
    <w:rsid w:val="00FC0E4A"/>
    <w:rsid w:val="00FC141B"/>
    <w:rsid w:val="00FC1501"/>
    <w:rsid w:val="00FC186E"/>
    <w:rsid w:val="00FC4E05"/>
    <w:rsid w:val="00FC50CF"/>
    <w:rsid w:val="00FC52F8"/>
    <w:rsid w:val="00FC5C98"/>
    <w:rsid w:val="00FC5CAB"/>
    <w:rsid w:val="00FC60C4"/>
    <w:rsid w:val="00FC62BD"/>
    <w:rsid w:val="00FC63C0"/>
    <w:rsid w:val="00FC6CD4"/>
    <w:rsid w:val="00FC6E3E"/>
    <w:rsid w:val="00FC7636"/>
    <w:rsid w:val="00FC77B0"/>
    <w:rsid w:val="00FC7B0D"/>
    <w:rsid w:val="00FC7D2F"/>
    <w:rsid w:val="00FC7D96"/>
    <w:rsid w:val="00FD035C"/>
    <w:rsid w:val="00FD0DE8"/>
    <w:rsid w:val="00FD1469"/>
    <w:rsid w:val="00FD32B4"/>
    <w:rsid w:val="00FD33CC"/>
    <w:rsid w:val="00FD395D"/>
    <w:rsid w:val="00FD4557"/>
    <w:rsid w:val="00FD475D"/>
    <w:rsid w:val="00FD4EA0"/>
    <w:rsid w:val="00FD56A4"/>
    <w:rsid w:val="00FD5D20"/>
    <w:rsid w:val="00FD5F67"/>
    <w:rsid w:val="00FD61C3"/>
    <w:rsid w:val="00FD7058"/>
    <w:rsid w:val="00FD70ED"/>
    <w:rsid w:val="00FD7195"/>
    <w:rsid w:val="00FD738F"/>
    <w:rsid w:val="00FD7DA7"/>
    <w:rsid w:val="00FE018E"/>
    <w:rsid w:val="00FE03A2"/>
    <w:rsid w:val="00FE0618"/>
    <w:rsid w:val="00FE08D7"/>
    <w:rsid w:val="00FE1554"/>
    <w:rsid w:val="00FE269B"/>
    <w:rsid w:val="00FE2960"/>
    <w:rsid w:val="00FE2A11"/>
    <w:rsid w:val="00FE2D69"/>
    <w:rsid w:val="00FE2F91"/>
    <w:rsid w:val="00FE48AD"/>
    <w:rsid w:val="00FE4CB4"/>
    <w:rsid w:val="00FE4D41"/>
    <w:rsid w:val="00FE53DC"/>
    <w:rsid w:val="00FE5919"/>
    <w:rsid w:val="00FE5DBC"/>
    <w:rsid w:val="00FE628A"/>
    <w:rsid w:val="00FE7A99"/>
    <w:rsid w:val="00FE7B33"/>
    <w:rsid w:val="00FE7CB0"/>
    <w:rsid w:val="00FF01CD"/>
    <w:rsid w:val="00FF0BEA"/>
    <w:rsid w:val="00FF0C0F"/>
    <w:rsid w:val="00FF10DD"/>
    <w:rsid w:val="00FF11F0"/>
    <w:rsid w:val="00FF1620"/>
    <w:rsid w:val="00FF280C"/>
    <w:rsid w:val="00FF2E4C"/>
    <w:rsid w:val="00FF30A9"/>
    <w:rsid w:val="00FF40F7"/>
    <w:rsid w:val="00FF424D"/>
    <w:rsid w:val="00FF45EE"/>
    <w:rsid w:val="00FF4E32"/>
    <w:rsid w:val="00FF52BB"/>
    <w:rsid w:val="00FF5AA1"/>
    <w:rsid w:val="00FF5B1F"/>
    <w:rsid w:val="00FF6258"/>
    <w:rsid w:val="00FF6C15"/>
    <w:rsid w:val="00FF72CC"/>
    <w:rsid w:val="00FF753B"/>
    <w:rsid w:val="0489BDD7"/>
    <w:rsid w:val="0503387B"/>
    <w:rsid w:val="05681512"/>
    <w:rsid w:val="0CDCE730"/>
    <w:rsid w:val="105341C8"/>
    <w:rsid w:val="1272EFDF"/>
    <w:rsid w:val="1431A52D"/>
    <w:rsid w:val="16EA7F13"/>
    <w:rsid w:val="1AB6B50F"/>
    <w:rsid w:val="1B65F816"/>
    <w:rsid w:val="1EA86403"/>
    <w:rsid w:val="1F56C7D6"/>
    <w:rsid w:val="25D424E9"/>
    <w:rsid w:val="25FECC2B"/>
    <w:rsid w:val="2D2A1931"/>
    <w:rsid w:val="2DB67F6B"/>
    <w:rsid w:val="2E5093C7"/>
    <w:rsid w:val="3BB61039"/>
    <w:rsid w:val="3EF7D6CB"/>
    <w:rsid w:val="42C9EF5B"/>
    <w:rsid w:val="431813D0"/>
    <w:rsid w:val="44B6E3E1"/>
    <w:rsid w:val="47B99320"/>
    <w:rsid w:val="48ACBE9B"/>
    <w:rsid w:val="4AFDF15D"/>
    <w:rsid w:val="522E6C59"/>
    <w:rsid w:val="5D05E82A"/>
    <w:rsid w:val="5D6ECCEC"/>
    <w:rsid w:val="5E40CA61"/>
    <w:rsid w:val="61FA1185"/>
    <w:rsid w:val="67095979"/>
    <w:rsid w:val="688A8F1E"/>
    <w:rsid w:val="6BD669AC"/>
    <w:rsid w:val="6DA1975D"/>
    <w:rsid w:val="71AF8922"/>
    <w:rsid w:val="7419C098"/>
    <w:rsid w:val="7422D0C3"/>
    <w:rsid w:val="77174842"/>
    <w:rsid w:val="7A110F36"/>
    <w:rsid w:val="7C95D567"/>
    <w:rsid w:val="7E951656"/>
    <w:rsid w:val="7F1793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3768D"/>
  <w15:docId w15:val="{D2F1FB5D-80E1-4413-B82B-8C5ABE8570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0" w:qFormat="1"/>
    <w:lsdException w:name="heading 2" w:uiPriority="0" w:semiHidden="1" w:unhideWhenUsed="1" w:qFormat="1"/>
    <w:lsdException w:name="heading 3" w:uiPriority="4" w:semiHidden="1" w:unhideWhenUsed="1" w:qFormat="1"/>
    <w:lsdException w:name="heading 4" w:uiPriority="0" w:qFormat="1"/>
    <w:lsdException w:name="heading 5" w:uiPriority="49" w:semiHidden="1" w:qFormat="1"/>
    <w:lsdException w:name="heading 6" w:uiPriority="49" w:semiHidden="1" w:qFormat="1"/>
    <w:lsdException w:name="heading 7" w:uiPriority="49" w:semiHidden="1" w:qFormat="1"/>
    <w:lsdException w:name="heading 8" w:uiPriority="49" w:semiHidden="1" w:qFormat="1"/>
    <w:lsdException w:name="heading 9" w:uiPriority="4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9"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8"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semiHidden="1" w:qFormat="1"/>
    <w:lsdException w:name="Book Title" w:uiPriority="49" w:semiHidden="1" w:qFormat="1"/>
    <w:lsdException w:name="Bibliography" w:uiPriority="49"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4"/>
    <w:qFormat/>
    <w:rsid w:val="002A251C"/>
    <w:pPr>
      <w:spacing w:after="200" w:line="264" w:lineRule="auto"/>
    </w:pPr>
    <w:rPr>
      <w:rFonts w:ascii="Arial" w:hAnsi="Arial"/>
      <w:sz w:val="24"/>
    </w:rPr>
  </w:style>
  <w:style w:type="paragraph" w:styleId="Heading1">
    <w:name w:val="heading 1"/>
    <w:basedOn w:val="Normal"/>
    <w:next w:val="Normal"/>
    <w:link w:val="Heading1Char"/>
    <w:uiPriority w:val="4"/>
    <w:qFormat/>
    <w:rsid w:val="006871B4"/>
    <w:pPr>
      <w:keepNext/>
      <w:keepLines/>
      <w:pageBreakBefore/>
      <w:spacing w:after="0" w:line="240" w:lineRule="atLeast"/>
      <w:outlineLvl w:val="0"/>
    </w:pPr>
    <w:rPr>
      <w:rFonts w:eastAsiaTheme="majorEastAsia" w:cstheme="majorBidi"/>
      <w:bCs/>
      <w:sz w:val="40"/>
      <w:szCs w:val="28"/>
    </w:rPr>
  </w:style>
  <w:style w:type="paragraph" w:styleId="Heading2">
    <w:name w:val="heading 2"/>
    <w:basedOn w:val="Normal"/>
    <w:next w:val="Normal"/>
    <w:link w:val="Heading2Char"/>
    <w:uiPriority w:val="4"/>
    <w:qFormat/>
    <w:rsid w:val="00D64F0B"/>
    <w:pPr>
      <w:keepNext/>
      <w:keepLines/>
      <w:spacing w:before="240" w:after="120" w:line="320" w:lineRule="atLeast"/>
      <w:outlineLvl w:val="1"/>
    </w:pPr>
    <w:rPr>
      <w:rFonts w:ascii="Arial Bold" w:hAnsi="Arial Bold" w:eastAsiaTheme="majorEastAsia" w:cstheme="majorBidi"/>
      <w:b/>
      <w:bCs/>
      <w:sz w:val="28"/>
      <w:szCs w:val="26"/>
    </w:rPr>
  </w:style>
  <w:style w:type="paragraph" w:styleId="Heading3">
    <w:name w:val="heading 3"/>
    <w:basedOn w:val="Normal"/>
    <w:next w:val="Normal"/>
    <w:link w:val="Heading3Char"/>
    <w:uiPriority w:val="4"/>
    <w:qFormat/>
    <w:rsid w:val="00302D68"/>
    <w:pPr>
      <w:keepNext/>
      <w:keepLines/>
      <w:spacing w:before="240" w:after="120" w:line="280" w:lineRule="atLeast"/>
      <w:outlineLvl w:val="2"/>
    </w:pPr>
    <w:rPr>
      <w:rFonts w:ascii="Arial Bold" w:hAnsi="Arial Bold" w:eastAsiaTheme="majorEastAsia" w:cstheme="majorBidi"/>
      <w:b/>
      <w:bCs/>
      <w:color w:val="009CDE" w:themeColor="text2"/>
    </w:rPr>
  </w:style>
  <w:style w:type="paragraph" w:styleId="Heading4">
    <w:name w:val="heading 4"/>
    <w:basedOn w:val="Normal"/>
    <w:next w:val="Normal"/>
    <w:link w:val="Heading4Char"/>
    <w:uiPriority w:val="4"/>
    <w:qFormat/>
    <w:rsid w:val="00D64F0B"/>
    <w:pPr>
      <w:keepNext/>
      <w:keepLines/>
      <w:spacing w:before="200" w:after="0" w:line="240" w:lineRule="atLeast"/>
      <w:outlineLvl w:val="3"/>
    </w:pPr>
    <w:rPr>
      <w:rFonts w:ascii="Arial Bold" w:hAnsi="Arial Bold" w:eastAsiaTheme="majorEastAsia" w:cstheme="majorBidi"/>
      <w:b/>
      <w:bCs/>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5F4CD7"/>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5F4CD7"/>
    <w:rPr>
      <w:rFonts w:ascii="Arial" w:hAnsi="Arial"/>
      <w:color w:val="63666A" w:themeColor="text1"/>
      <w:sz w:val="20"/>
    </w:rPr>
  </w:style>
  <w:style w:type="paragraph" w:styleId="Footer">
    <w:name w:val="footer"/>
    <w:basedOn w:val="Normal"/>
    <w:link w:val="FooterChar"/>
    <w:uiPriority w:val="99"/>
    <w:rsid w:val="00F1664E"/>
    <w:pPr>
      <w:tabs>
        <w:tab w:val="left" w:pos="680"/>
        <w:tab w:val="right" w:pos="9979"/>
        <w:tab w:val="right" w:pos="10660"/>
      </w:tabs>
      <w:spacing w:after="0" w:line="240" w:lineRule="auto"/>
    </w:pPr>
    <w:rPr>
      <w:sz w:val="16"/>
    </w:rPr>
  </w:style>
  <w:style w:type="character" w:styleId="FooterChar" w:customStyle="1">
    <w:name w:val="Footer Char"/>
    <w:basedOn w:val="DefaultParagraphFont"/>
    <w:link w:val="Footer"/>
    <w:uiPriority w:val="99"/>
    <w:rsid w:val="00F1664E"/>
    <w:rPr>
      <w:rFonts w:ascii="Arial" w:hAnsi="Arial"/>
      <w:color w:val="63666A" w:themeColor="text1"/>
      <w:sz w:val="16"/>
    </w:rPr>
  </w:style>
  <w:style w:type="table" w:styleId="TableGrid">
    <w:name w:val="Table Grid"/>
    <w:basedOn w:val="TableNormal"/>
    <w:uiPriority w:val="59"/>
    <w:rsid w:val="005F4C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Title" w:customStyle="1">
    <w:name w:val="DocTitle"/>
    <w:basedOn w:val="Normal"/>
    <w:uiPriority w:val="49"/>
    <w:semiHidden/>
    <w:qFormat/>
    <w:rsid w:val="0087283B"/>
    <w:pPr>
      <w:spacing w:before="360"/>
    </w:pPr>
    <w:rPr>
      <w:caps/>
      <w:color w:val="3F9C35" w:themeColor="background2"/>
      <w:sz w:val="40"/>
    </w:rPr>
  </w:style>
  <w:style w:type="paragraph" w:styleId="DocSubTitle" w:customStyle="1">
    <w:name w:val="DocSubTitle"/>
    <w:basedOn w:val="DocTitle"/>
    <w:uiPriority w:val="49"/>
    <w:semiHidden/>
    <w:qFormat/>
    <w:rsid w:val="002A251C"/>
    <w:rPr>
      <w:caps w:val="0"/>
      <w:color w:val="auto"/>
      <w:sz w:val="28"/>
    </w:rPr>
  </w:style>
  <w:style w:type="paragraph" w:styleId="DocDate" w:customStyle="1">
    <w:name w:val="DocDate"/>
    <w:basedOn w:val="DocSubTitle"/>
    <w:uiPriority w:val="49"/>
    <w:semiHidden/>
    <w:qFormat/>
    <w:rsid w:val="005F4CD7"/>
    <w:rPr>
      <w:color w:val="63666A" w:themeColor="text1"/>
    </w:rPr>
  </w:style>
  <w:style w:type="paragraph" w:styleId="FooterOdd" w:customStyle="1">
    <w:name w:val="FooterOdd"/>
    <w:basedOn w:val="Footer"/>
    <w:uiPriority w:val="49"/>
    <w:semiHidden/>
    <w:qFormat/>
    <w:rsid w:val="002648BF"/>
    <w:pPr>
      <w:tabs>
        <w:tab w:val="clear" w:pos="680"/>
        <w:tab w:val="clear" w:pos="9979"/>
        <w:tab w:val="clear" w:pos="10660"/>
        <w:tab w:val="right" w:pos="9526"/>
        <w:tab w:val="right" w:pos="10195"/>
      </w:tabs>
    </w:pPr>
  </w:style>
  <w:style w:type="paragraph" w:styleId="FooterHalf" w:customStyle="1">
    <w:name w:val="FooterHalf"/>
    <w:basedOn w:val="Footer"/>
    <w:uiPriority w:val="49"/>
    <w:qFormat/>
    <w:rsid w:val="005F4CD7"/>
    <w:rPr>
      <w:noProof/>
      <w:sz w:val="10"/>
      <w:lang w:eastAsia="en-GB"/>
    </w:rPr>
  </w:style>
  <w:style w:type="paragraph" w:styleId="BalloonText">
    <w:name w:val="Balloon Text"/>
    <w:basedOn w:val="Normal"/>
    <w:link w:val="BalloonTextChar"/>
    <w:uiPriority w:val="99"/>
    <w:semiHidden/>
    <w:unhideWhenUsed/>
    <w:rsid w:val="005F4CD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F4CD7"/>
    <w:rPr>
      <w:rFonts w:ascii="Tahoma" w:hAnsi="Tahoma" w:cs="Tahoma"/>
      <w:color w:val="63666A" w:themeColor="text1"/>
      <w:sz w:val="16"/>
      <w:szCs w:val="16"/>
    </w:rPr>
  </w:style>
  <w:style w:type="paragraph" w:styleId="Confidentiality" w:customStyle="1">
    <w:name w:val="Confidentiality"/>
    <w:basedOn w:val="Normal"/>
    <w:next w:val="Normal"/>
    <w:uiPriority w:val="99"/>
    <w:semiHidden/>
    <w:qFormat/>
    <w:rsid w:val="00542F35"/>
    <w:pPr>
      <w:framePr w:wrap="around" w:hAnchor="text" w:vAnchor="page" w:y="341" w:anchorLock="1"/>
    </w:pPr>
    <w:rPr>
      <w:b/>
      <w:noProof/>
      <w:lang w:val="en-US"/>
    </w:rPr>
  </w:style>
  <w:style w:type="paragraph" w:styleId="Heading1Toc" w:customStyle="1">
    <w:name w:val="Heading 1 Toc"/>
    <w:basedOn w:val="DocTitle"/>
    <w:next w:val="IntroductionFullWidth"/>
    <w:uiPriority w:val="49"/>
    <w:semiHidden/>
    <w:qFormat/>
    <w:rsid w:val="002A251C"/>
    <w:pPr>
      <w:framePr w:w="8618" w:wrap="around" w:hAnchor="text" w:vAnchor="page" w:y="2835"/>
      <w:spacing w:before="0" w:after="240" w:line="240" w:lineRule="atLeast"/>
    </w:pPr>
    <w:rPr>
      <w:caps w:val="0"/>
      <w:color w:val="auto"/>
    </w:rPr>
  </w:style>
  <w:style w:type="character" w:styleId="Heading1Char" w:customStyle="1">
    <w:name w:val="Heading 1 Char"/>
    <w:basedOn w:val="DefaultParagraphFont"/>
    <w:link w:val="Heading1"/>
    <w:uiPriority w:val="4"/>
    <w:rsid w:val="006871B4"/>
    <w:rPr>
      <w:rFonts w:ascii="Arial" w:hAnsi="Arial" w:eastAsiaTheme="majorEastAsia" w:cstheme="majorBidi"/>
      <w:bCs/>
      <w:sz w:val="40"/>
      <w:szCs w:val="28"/>
    </w:rPr>
  </w:style>
  <w:style w:type="paragraph" w:styleId="Heading1Num" w:customStyle="1">
    <w:name w:val="Heading 1Num"/>
    <w:basedOn w:val="Heading1"/>
    <w:next w:val="Normal"/>
    <w:autoRedefine/>
    <w:uiPriority w:val="1"/>
    <w:qFormat/>
    <w:rsid w:val="0076419C"/>
    <w:pPr>
      <w:pageBreakBefore w:val="0"/>
      <w:numPr>
        <w:numId w:val="7"/>
      </w:numPr>
      <w:spacing w:after="200"/>
    </w:pPr>
    <w:rPr>
      <w:rFonts w:eastAsia="Calibri"/>
    </w:rPr>
  </w:style>
  <w:style w:type="paragraph" w:styleId="Heading2NewPg" w:customStyle="1">
    <w:name w:val="Heading 2NewPg"/>
    <w:basedOn w:val="Heading2"/>
    <w:next w:val="Normal"/>
    <w:uiPriority w:val="4"/>
    <w:qFormat/>
    <w:rsid w:val="00F45B11"/>
    <w:pPr>
      <w:pageBreakBefore/>
      <w:spacing w:before="0"/>
    </w:pPr>
  </w:style>
  <w:style w:type="character" w:styleId="Heading2Char" w:customStyle="1">
    <w:name w:val="Heading 2 Char"/>
    <w:basedOn w:val="DefaultParagraphFont"/>
    <w:link w:val="Heading2"/>
    <w:uiPriority w:val="4"/>
    <w:rsid w:val="00D64F0B"/>
    <w:rPr>
      <w:rFonts w:ascii="Arial Bold" w:hAnsi="Arial Bold" w:eastAsiaTheme="majorEastAsia" w:cstheme="majorBidi"/>
      <w:b/>
      <w:bCs/>
      <w:color w:val="63666A" w:themeColor="text1"/>
      <w:sz w:val="28"/>
      <w:szCs w:val="26"/>
    </w:rPr>
  </w:style>
  <w:style w:type="paragraph" w:styleId="Heading2Num" w:customStyle="1">
    <w:name w:val="Heading 2Num"/>
    <w:basedOn w:val="Heading2"/>
    <w:next w:val="Normal"/>
    <w:uiPriority w:val="1"/>
    <w:qFormat/>
    <w:rsid w:val="00FB5E15"/>
    <w:pPr>
      <w:numPr>
        <w:ilvl w:val="1"/>
        <w:numId w:val="7"/>
      </w:numPr>
    </w:pPr>
  </w:style>
  <w:style w:type="paragraph" w:styleId="Heading2NumNewPg" w:customStyle="1">
    <w:name w:val="Heading 2NumNewPg"/>
    <w:basedOn w:val="Heading2Num"/>
    <w:next w:val="Normal"/>
    <w:uiPriority w:val="1"/>
    <w:qFormat/>
    <w:rsid w:val="00CB09E9"/>
    <w:pPr>
      <w:pageBreakBefore/>
    </w:pPr>
  </w:style>
  <w:style w:type="paragraph" w:styleId="Heading3Numb" w:customStyle="1">
    <w:name w:val="Heading 3Numb"/>
    <w:basedOn w:val="Heading3"/>
    <w:next w:val="Normal"/>
    <w:autoRedefine/>
    <w:uiPriority w:val="1"/>
    <w:qFormat/>
    <w:rsid w:val="00B07049"/>
    <w:pPr>
      <w:tabs>
        <w:tab w:val="num" w:pos="794"/>
      </w:tabs>
      <w:spacing w:before="0" w:after="200"/>
    </w:pPr>
    <w:rPr>
      <w:color w:val="auto"/>
    </w:rPr>
  </w:style>
  <w:style w:type="character" w:styleId="Heading3Char" w:customStyle="1">
    <w:name w:val="Heading 3 Char"/>
    <w:basedOn w:val="DefaultParagraphFont"/>
    <w:link w:val="Heading3"/>
    <w:uiPriority w:val="4"/>
    <w:rsid w:val="00302D68"/>
    <w:rPr>
      <w:rFonts w:ascii="Arial Bold" w:hAnsi="Arial Bold" w:eastAsiaTheme="majorEastAsia" w:cstheme="majorBidi"/>
      <w:b/>
      <w:bCs/>
      <w:color w:val="009CDE" w:themeColor="text2"/>
      <w:sz w:val="24"/>
    </w:rPr>
  </w:style>
  <w:style w:type="character" w:styleId="Heading4Char" w:customStyle="1">
    <w:name w:val="Heading 4 Char"/>
    <w:basedOn w:val="DefaultParagraphFont"/>
    <w:link w:val="Heading4"/>
    <w:uiPriority w:val="4"/>
    <w:rsid w:val="00D64F0B"/>
    <w:rPr>
      <w:rFonts w:ascii="Arial Bold" w:hAnsi="Arial Bold" w:eastAsiaTheme="majorEastAsia" w:cstheme="majorBidi"/>
      <w:b/>
      <w:bCs/>
      <w:iCs/>
      <w:color w:val="63666A" w:themeColor="text1"/>
      <w:sz w:val="20"/>
    </w:rPr>
  </w:style>
  <w:style w:type="paragraph" w:styleId="BackPageDisclaimer" w:customStyle="1">
    <w:name w:val="BackPageDisclaimer"/>
    <w:basedOn w:val="Footer"/>
    <w:uiPriority w:val="49"/>
    <w:semiHidden/>
    <w:qFormat/>
    <w:rsid w:val="0094303A"/>
    <w:pPr>
      <w:spacing w:after="100" w:line="264" w:lineRule="auto"/>
    </w:pPr>
    <w:rPr>
      <w:sz w:val="12"/>
    </w:rPr>
  </w:style>
  <w:style w:type="paragraph" w:styleId="BackPageTitle" w:customStyle="1">
    <w:name w:val="BackPageTitle"/>
    <w:basedOn w:val="Heading12Col"/>
    <w:uiPriority w:val="99"/>
    <w:semiHidden/>
    <w:qFormat/>
    <w:rsid w:val="00520724"/>
    <w:pPr>
      <w:framePr w:wrap="around"/>
    </w:pPr>
  </w:style>
  <w:style w:type="paragraph" w:styleId="BackPageWeb" w:customStyle="1">
    <w:name w:val="BackPageWeb"/>
    <w:basedOn w:val="BackPageDisclaimer"/>
    <w:uiPriority w:val="49"/>
    <w:semiHidden/>
    <w:qFormat/>
    <w:rsid w:val="00814953"/>
    <w:rPr>
      <w:sz w:val="20"/>
    </w:rPr>
  </w:style>
  <w:style w:type="paragraph" w:styleId="BiogContact" w:customStyle="1">
    <w:name w:val="BiogContact"/>
    <w:basedOn w:val="Normal"/>
    <w:uiPriority w:val="36"/>
    <w:qFormat/>
    <w:rsid w:val="00B45268"/>
    <w:pPr>
      <w:spacing w:before="60" w:after="0"/>
      <w:contextualSpacing/>
    </w:pPr>
  </w:style>
  <w:style w:type="paragraph" w:styleId="BiogJobTitle" w:customStyle="1">
    <w:name w:val="BiogJobTitle"/>
    <w:basedOn w:val="Normal"/>
    <w:uiPriority w:val="35"/>
    <w:qFormat/>
    <w:rsid w:val="00814953"/>
    <w:pPr>
      <w:spacing w:after="120"/>
    </w:pPr>
    <w:rPr>
      <w:b/>
    </w:rPr>
  </w:style>
  <w:style w:type="paragraph" w:styleId="BiogName" w:customStyle="1">
    <w:name w:val="BiogName"/>
    <w:basedOn w:val="Normal"/>
    <w:uiPriority w:val="34"/>
    <w:qFormat/>
    <w:rsid w:val="00814953"/>
    <w:pPr>
      <w:spacing w:before="120" w:after="0"/>
    </w:pPr>
    <w:rPr>
      <w:b/>
      <w:color w:val="009CDE" w:themeColor="text2"/>
    </w:rPr>
  </w:style>
  <w:style w:type="paragraph" w:styleId="Bullet1" w:customStyle="1">
    <w:name w:val="Bullet 1"/>
    <w:basedOn w:val="Normal"/>
    <w:uiPriority w:val="9"/>
    <w:qFormat/>
    <w:rsid w:val="007D140C"/>
    <w:pPr>
      <w:numPr>
        <w:numId w:val="4"/>
      </w:numPr>
    </w:pPr>
  </w:style>
  <w:style w:type="paragraph" w:styleId="Bullet2" w:customStyle="1">
    <w:name w:val="Bullet 2"/>
    <w:basedOn w:val="Bullet1"/>
    <w:uiPriority w:val="9"/>
    <w:qFormat/>
    <w:rsid w:val="00814953"/>
    <w:pPr>
      <w:numPr>
        <w:ilvl w:val="1"/>
      </w:numPr>
    </w:pPr>
  </w:style>
  <w:style w:type="paragraph" w:styleId="Introduction" w:customStyle="1">
    <w:name w:val="Introduction"/>
    <w:basedOn w:val="Normal"/>
    <w:next w:val="Normal"/>
    <w:uiPriority w:val="14"/>
    <w:qFormat/>
    <w:rsid w:val="00814953"/>
    <w:pPr>
      <w:spacing w:line="276" w:lineRule="auto"/>
    </w:pPr>
    <w:rPr>
      <w:color w:val="009CDE" w:themeColor="text2"/>
      <w:sz w:val="23"/>
    </w:rPr>
  </w:style>
  <w:style w:type="paragraph" w:styleId="IntroductionFullWidth" w:customStyle="1">
    <w:name w:val="IntroductionFullWidth"/>
    <w:basedOn w:val="Introduction"/>
    <w:next w:val="Normal"/>
    <w:uiPriority w:val="14"/>
    <w:qFormat/>
    <w:rsid w:val="003B1C3D"/>
    <w:pPr>
      <w:framePr w:w="8618" w:wrap="around" w:hAnchor="text" w:vAnchor="text" w:y="1"/>
    </w:pPr>
  </w:style>
  <w:style w:type="paragraph" w:styleId="NormalNoSpace" w:customStyle="1">
    <w:name w:val="NormalNoSpace"/>
    <w:basedOn w:val="Normal"/>
    <w:next w:val="Normal"/>
    <w:uiPriority w:val="4"/>
    <w:qFormat/>
    <w:rsid w:val="001F7F37"/>
    <w:pPr>
      <w:spacing w:after="0"/>
    </w:pPr>
  </w:style>
  <w:style w:type="paragraph" w:styleId="NumbList1" w:customStyle="1">
    <w:name w:val="NumbList 1"/>
    <w:basedOn w:val="Normal"/>
    <w:uiPriority w:val="4"/>
    <w:qFormat/>
    <w:rsid w:val="00FB5E15"/>
    <w:pPr>
      <w:ind w:left="720" w:hanging="360"/>
    </w:pPr>
  </w:style>
  <w:style w:type="paragraph" w:styleId="NumbList2" w:customStyle="1">
    <w:name w:val="NumbList 2"/>
    <w:basedOn w:val="NumbList1"/>
    <w:uiPriority w:val="4"/>
    <w:qFormat/>
    <w:rsid w:val="00FB5E15"/>
    <w:pPr>
      <w:ind w:left="680" w:hanging="340"/>
    </w:pPr>
  </w:style>
  <w:style w:type="numbering" w:styleId="NumbLstBullet" w:customStyle="1">
    <w:name w:val="NumbLstBullet"/>
    <w:uiPriority w:val="99"/>
    <w:rsid w:val="007D140C"/>
    <w:pPr>
      <w:numPr>
        <w:numId w:val="2"/>
      </w:numPr>
    </w:pPr>
  </w:style>
  <w:style w:type="numbering" w:styleId="NumbLstMain" w:customStyle="1">
    <w:name w:val="NumbLstMain"/>
    <w:uiPriority w:val="99"/>
    <w:rsid w:val="00FB5E15"/>
    <w:pPr>
      <w:numPr>
        <w:numId w:val="3"/>
      </w:numPr>
    </w:pPr>
  </w:style>
  <w:style w:type="paragraph" w:styleId="Quote">
    <w:name w:val="Quote"/>
    <w:basedOn w:val="Normal"/>
    <w:link w:val="QuoteChar"/>
    <w:uiPriority w:val="38"/>
    <w:qFormat/>
    <w:rsid w:val="00F342E2"/>
    <w:pPr>
      <w:framePr w:w="10206" w:h="12247" w:wrap="around" w:hAnchor="text" w:vAnchor="page" w:y="3403" w:hRule="exact"/>
      <w:spacing w:after="0"/>
      <w:ind w:left="1588" w:right="1701"/>
    </w:pPr>
    <w:rPr>
      <w:iCs/>
      <w:color w:val="FFFFFF" w:themeColor="background1"/>
      <w:sz w:val="32"/>
    </w:rPr>
  </w:style>
  <w:style w:type="character" w:styleId="QuoteChar" w:customStyle="1">
    <w:name w:val="Quote Char"/>
    <w:basedOn w:val="DefaultParagraphFont"/>
    <w:link w:val="Quote"/>
    <w:uiPriority w:val="38"/>
    <w:rsid w:val="00F342E2"/>
    <w:rPr>
      <w:rFonts w:ascii="Arial" w:hAnsi="Arial"/>
      <w:iCs/>
      <w:color w:val="FFFFFF" w:themeColor="background1"/>
      <w:sz w:val="32"/>
    </w:rPr>
  </w:style>
  <w:style w:type="paragraph" w:styleId="QuoteAuthor" w:customStyle="1">
    <w:name w:val="QuoteAuthor"/>
    <w:basedOn w:val="Quote"/>
    <w:next w:val="Normal"/>
    <w:uiPriority w:val="38"/>
    <w:qFormat/>
    <w:rsid w:val="00F342E2"/>
    <w:pPr>
      <w:framePr w:wrap="around"/>
      <w:spacing w:after="6600"/>
    </w:pPr>
    <w:rPr>
      <w:sz w:val="20"/>
    </w:rPr>
  </w:style>
  <w:style w:type="paragraph" w:styleId="QuoteMarks" w:customStyle="1">
    <w:name w:val="QuoteMarks"/>
    <w:basedOn w:val="Quote"/>
    <w:next w:val="QuoteAuthor"/>
    <w:uiPriority w:val="38"/>
    <w:qFormat/>
    <w:rsid w:val="00F342E2"/>
    <w:pPr>
      <w:framePr w:wrap="around"/>
      <w:spacing w:line="640" w:lineRule="exact"/>
    </w:pPr>
    <w:rPr>
      <w:position w:val="-64"/>
      <w:sz w:val="144"/>
    </w:rPr>
  </w:style>
  <w:style w:type="paragraph" w:styleId="QuoteOpen" w:customStyle="1">
    <w:name w:val="QuoteOpen"/>
    <w:basedOn w:val="QuoteMarks"/>
    <w:next w:val="Quote"/>
    <w:uiPriority w:val="38"/>
    <w:qFormat/>
    <w:rsid w:val="00F342E2"/>
    <w:pPr>
      <w:pageBreakBefore/>
      <w:framePr w:wrap="around"/>
    </w:pPr>
    <w:rPr>
      <w:position w:val="-72"/>
    </w:rPr>
  </w:style>
  <w:style w:type="paragraph" w:styleId="FooterPandC" w:customStyle="1">
    <w:name w:val="FooterPandC"/>
    <w:basedOn w:val="Footer"/>
    <w:uiPriority w:val="49"/>
    <w:semiHidden/>
    <w:qFormat/>
    <w:rsid w:val="00F50B4D"/>
    <w:pPr>
      <w:spacing w:before="120"/>
      <w:ind w:left="680" w:right="680"/>
    </w:pPr>
    <w:rPr>
      <w:b/>
    </w:rPr>
  </w:style>
  <w:style w:type="paragraph" w:styleId="TOC1">
    <w:name w:val="toc 1"/>
    <w:basedOn w:val="Normal"/>
    <w:next w:val="Normal"/>
    <w:autoRedefine/>
    <w:uiPriority w:val="39"/>
    <w:rsid w:val="0076419C"/>
    <w:pPr>
      <w:tabs>
        <w:tab w:val="left" w:pos="480"/>
        <w:tab w:val="left" w:pos="1920"/>
        <w:tab w:val="right" w:leader="dot" w:pos="9627"/>
      </w:tabs>
      <w:spacing w:before="240" w:after="120"/>
    </w:pPr>
    <w:rPr>
      <w:rFonts w:cstheme="minorHAnsi"/>
      <w:b/>
      <w:bCs/>
      <w:szCs w:val="20"/>
    </w:rPr>
  </w:style>
  <w:style w:type="character" w:styleId="Hyperlink">
    <w:name w:val="Hyperlink"/>
    <w:basedOn w:val="DefaultParagraphFont"/>
    <w:uiPriority w:val="99"/>
    <w:rsid w:val="000C4739"/>
    <w:rPr>
      <w:rFonts w:ascii="Arial" w:hAnsi="Arial"/>
      <w:color w:val="auto"/>
      <w:sz w:val="24"/>
      <w:u w:val="single"/>
    </w:rPr>
  </w:style>
  <w:style w:type="paragraph" w:styleId="TOC2">
    <w:name w:val="toc 2"/>
    <w:basedOn w:val="Normal"/>
    <w:next w:val="Normal"/>
    <w:autoRedefine/>
    <w:uiPriority w:val="39"/>
    <w:rsid w:val="005367E8"/>
    <w:pPr>
      <w:tabs>
        <w:tab w:val="left" w:pos="720"/>
        <w:tab w:val="right" w:leader="dot" w:pos="9627"/>
      </w:tabs>
      <w:spacing w:before="120" w:after="0"/>
      <w:ind w:left="240"/>
    </w:pPr>
    <w:rPr>
      <w:rFonts w:asciiTheme="minorHAnsi" w:hAnsiTheme="minorHAnsi" w:cstheme="minorHAnsi"/>
      <w:i/>
      <w:iCs/>
      <w:sz w:val="20"/>
      <w:szCs w:val="20"/>
    </w:rPr>
  </w:style>
  <w:style w:type="paragraph" w:styleId="Heading12Col" w:customStyle="1">
    <w:name w:val="Heading 1 2Col"/>
    <w:basedOn w:val="Heading1"/>
    <w:next w:val="Normal"/>
    <w:uiPriority w:val="4"/>
    <w:qFormat/>
    <w:rsid w:val="00EB4923"/>
    <w:pPr>
      <w:framePr w:w="10206" w:wrap="around" w:hAnchor="text"/>
    </w:pPr>
  </w:style>
  <w:style w:type="paragraph" w:styleId="IntroductionFullWIdth2ColPg" w:customStyle="1">
    <w:name w:val="IntroductionFullWIdth 2ColPg"/>
    <w:basedOn w:val="Introduction"/>
    <w:next w:val="Normal"/>
    <w:uiPriority w:val="14"/>
    <w:qFormat/>
    <w:rsid w:val="004760B0"/>
    <w:pPr>
      <w:framePr w:w="10206" w:wrap="around" w:hAnchor="text" w:vAnchor="text" w:y="1"/>
    </w:pPr>
  </w:style>
  <w:style w:type="paragraph" w:styleId="TableText" w:customStyle="1">
    <w:name w:val="TableText"/>
    <w:basedOn w:val="Normal"/>
    <w:uiPriority w:val="25"/>
    <w:qFormat/>
    <w:rsid w:val="00962692"/>
    <w:pPr>
      <w:spacing w:before="60" w:after="60"/>
      <w:ind w:left="57" w:right="57"/>
    </w:pPr>
  </w:style>
  <w:style w:type="paragraph" w:styleId="TableBullet1" w:customStyle="1">
    <w:name w:val="TableBullet 1"/>
    <w:basedOn w:val="TableText"/>
    <w:uiPriority w:val="31"/>
    <w:qFormat/>
    <w:rsid w:val="007D140C"/>
    <w:pPr>
      <w:tabs>
        <w:tab w:val="num" w:pos="340"/>
      </w:tabs>
      <w:ind w:left="397" w:hanging="340"/>
    </w:pPr>
  </w:style>
  <w:style w:type="paragraph" w:styleId="TableBullet2" w:customStyle="1">
    <w:name w:val="TableBullet 2"/>
    <w:basedOn w:val="TableText"/>
    <w:uiPriority w:val="31"/>
    <w:qFormat/>
    <w:rsid w:val="007D140C"/>
    <w:pPr>
      <w:tabs>
        <w:tab w:val="num" w:pos="737"/>
      </w:tabs>
      <w:ind w:left="737" w:hanging="397"/>
    </w:pPr>
  </w:style>
  <w:style w:type="paragraph" w:styleId="TableHeadingGreen" w:customStyle="1">
    <w:name w:val="TableHeadingGreen"/>
    <w:basedOn w:val="TableText"/>
    <w:uiPriority w:val="23"/>
    <w:qFormat/>
    <w:rsid w:val="00962692"/>
    <w:pPr>
      <w:keepNext/>
    </w:pPr>
    <w:rPr>
      <w:b/>
      <w:color w:val="3F9C35" w:themeColor="background2"/>
    </w:rPr>
  </w:style>
  <w:style w:type="paragraph" w:styleId="TableHeadingBlue" w:customStyle="1">
    <w:name w:val="TableHeadingBlue"/>
    <w:basedOn w:val="TableHeadingGreen"/>
    <w:uiPriority w:val="23"/>
    <w:qFormat/>
    <w:rsid w:val="00962692"/>
    <w:rPr>
      <w:color w:val="009CDE" w:themeColor="text2"/>
    </w:rPr>
  </w:style>
  <w:style w:type="paragraph" w:styleId="TableHeadingBlueRight" w:customStyle="1">
    <w:name w:val="TableHeadingBlueRight"/>
    <w:basedOn w:val="TableHeadingBlue"/>
    <w:uiPriority w:val="23"/>
    <w:qFormat/>
    <w:rsid w:val="00962692"/>
    <w:pPr>
      <w:jc w:val="right"/>
    </w:pPr>
  </w:style>
  <w:style w:type="paragraph" w:styleId="TableHeadingGreenRight" w:customStyle="1">
    <w:name w:val="TableHeadingGreenRight"/>
    <w:basedOn w:val="TableHeadingGreen"/>
    <w:uiPriority w:val="23"/>
    <w:qFormat/>
    <w:rsid w:val="00962692"/>
    <w:pPr>
      <w:jc w:val="right"/>
    </w:pPr>
  </w:style>
  <w:style w:type="paragraph" w:styleId="TableHeadingWhite" w:customStyle="1">
    <w:name w:val="TableHeadingWhite"/>
    <w:basedOn w:val="TableHeadingGreen"/>
    <w:uiPriority w:val="23"/>
    <w:qFormat/>
    <w:rsid w:val="00962692"/>
    <w:rPr>
      <w:color w:val="FFFFFF" w:themeColor="background1"/>
    </w:rPr>
  </w:style>
  <w:style w:type="paragraph" w:styleId="TableHeadingWhiteRight" w:customStyle="1">
    <w:name w:val="TableHeadingWhiteRight"/>
    <w:basedOn w:val="TableHeadingWhite"/>
    <w:uiPriority w:val="23"/>
    <w:qFormat/>
    <w:rsid w:val="00962692"/>
    <w:pPr>
      <w:jc w:val="right"/>
    </w:pPr>
  </w:style>
  <w:style w:type="paragraph" w:styleId="TableNumb" w:customStyle="1">
    <w:name w:val="TableNumb"/>
    <w:basedOn w:val="TableText"/>
    <w:uiPriority w:val="26"/>
    <w:qFormat/>
    <w:rsid w:val="00C80D2F"/>
    <w:pPr>
      <w:ind w:right="85"/>
      <w:jc w:val="right"/>
    </w:pPr>
  </w:style>
  <w:style w:type="paragraph" w:styleId="TableNumbList1" w:customStyle="1">
    <w:name w:val="TableNumbList 1"/>
    <w:basedOn w:val="TableText"/>
    <w:uiPriority w:val="30"/>
    <w:qFormat/>
    <w:rsid w:val="007D140C"/>
    <w:pPr>
      <w:tabs>
        <w:tab w:val="num" w:pos="397"/>
      </w:tabs>
      <w:ind w:left="397" w:hanging="340"/>
    </w:pPr>
  </w:style>
  <w:style w:type="paragraph" w:styleId="TableNumbList2" w:customStyle="1">
    <w:name w:val="TableNumbList 2"/>
    <w:basedOn w:val="TableText"/>
    <w:uiPriority w:val="30"/>
    <w:qFormat/>
    <w:rsid w:val="007D140C"/>
    <w:pPr>
      <w:tabs>
        <w:tab w:val="num" w:pos="737"/>
      </w:tabs>
      <w:ind w:left="737" w:hanging="340"/>
    </w:pPr>
  </w:style>
  <w:style w:type="paragraph" w:styleId="TableNumbNeg" w:customStyle="1">
    <w:name w:val="TableNumbNeg"/>
    <w:basedOn w:val="TableNumb"/>
    <w:uiPriority w:val="26"/>
    <w:qFormat/>
    <w:rsid w:val="00C80D2F"/>
    <w:pPr>
      <w:ind w:right="28"/>
    </w:pPr>
  </w:style>
  <w:style w:type="paragraph" w:styleId="TableSource" w:customStyle="1">
    <w:name w:val="TableSource"/>
    <w:basedOn w:val="Normal"/>
    <w:next w:val="Normal"/>
    <w:uiPriority w:val="31"/>
    <w:qFormat/>
    <w:rsid w:val="00962692"/>
    <w:rPr>
      <w:i/>
    </w:rPr>
  </w:style>
  <w:style w:type="paragraph" w:styleId="TableTitle" w:customStyle="1">
    <w:name w:val="TableTitle"/>
    <w:basedOn w:val="Normal"/>
    <w:uiPriority w:val="22"/>
    <w:qFormat/>
    <w:rsid w:val="00962692"/>
    <w:pPr>
      <w:spacing w:before="200" w:after="100"/>
    </w:pPr>
    <w:rPr>
      <w:b/>
    </w:rPr>
  </w:style>
  <w:style w:type="paragraph" w:styleId="TableTotal" w:customStyle="1">
    <w:name w:val="TableTotal"/>
    <w:basedOn w:val="TableText"/>
    <w:uiPriority w:val="29"/>
    <w:qFormat/>
    <w:rsid w:val="00962692"/>
    <w:rPr>
      <w:b/>
    </w:rPr>
  </w:style>
  <w:style w:type="paragraph" w:styleId="TableTotalNumb" w:customStyle="1">
    <w:name w:val="TableTotalNumb"/>
    <w:basedOn w:val="TableTotal"/>
    <w:uiPriority w:val="29"/>
    <w:qFormat/>
    <w:rsid w:val="00C80D2F"/>
    <w:pPr>
      <w:ind w:right="85"/>
      <w:jc w:val="right"/>
    </w:pPr>
  </w:style>
  <w:style w:type="paragraph" w:styleId="TableTotalNumbNeg" w:customStyle="1">
    <w:name w:val="TableTotalNumbNeg"/>
    <w:basedOn w:val="TableTotalNumb"/>
    <w:uiPriority w:val="29"/>
    <w:qFormat/>
    <w:rsid w:val="00C80D2F"/>
    <w:pPr>
      <w:ind w:right="28"/>
    </w:pPr>
  </w:style>
  <w:style w:type="paragraph" w:styleId="TOC3">
    <w:name w:val="toc 3"/>
    <w:basedOn w:val="TOC1"/>
    <w:next w:val="Normal"/>
    <w:autoRedefine/>
    <w:uiPriority w:val="39"/>
    <w:rsid w:val="00CE77CB"/>
    <w:pPr>
      <w:tabs>
        <w:tab w:val="left" w:pos="1200"/>
      </w:tabs>
      <w:spacing w:before="0" w:after="0"/>
      <w:ind w:left="480"/>
    </w:pPr>
    <w:rPr>
      <w:b w:val="0"/>
      <w:bCs w:val="0"/>
    </w:rPr>
  </w:style>
  <w:style w:type="paragraph" w:styleId="TOC4">
    <w:name w:val="toc 4"/>
    <w:basedOn w:val="TOC3"/>
    <w:next w:val="Normal"/>
    <w:autoRedefine/>
    <w:uiPriority w:val="39"/>
    <w:rsid w:val="00302D68"/>
    <w:pPr>
      <w:ind w:left="720"/>
    </w:pPr>
  </w:style>
  <w:style w:type="paragraph" w:styleId="TOC5">
    <w:name w:val="toc 5"/>
    <w:basedOn w:val="TOC1"/>
    <w:next w:val="Normal"/>
    <w:autoRedefine/>
    <w:uiPriority w:val="39"/>
    <w:semiHidden/>
    <w:rsid w:val="00D7287F"/>
    <w:pPr>
      <w:spacing w:before="0" w:after="0"/>
      <w:ind w:left="960"/>
    </w:pPr>
    <w:rPr>
      <w:b w:val="0"/>
      <w:bCs w:val="0"/>
    </w:rPr>
  </w:style>
  <w:style w:type="paragraph" w:styleId="TOC7">
    <w:name w:val="toc 7"/>
    <w:basedOn w:val="TOC3"/>
    <w:next w:val="Normal"/>
    <w:autoRedefine/>
    <w:uiPriority w:val="39"/>
    <w:rsid w:val="007E6182"/>
    <w:pPr>
      <w:ind w:left="1440"/>
    </w:pPr>
  </w:style>
  <w:style w:type="paragraph" w:styleId="TOC6">
    <w:name w:val="toc 6"/>
    <w:basedOn w:val="TOC5"/>
    <w:next w:val="Normal"/>
    <w:autoRedefine/>
    <w:uiPriority w:val="39"/>
    <w:semiHidden/>
    <w:rsid w:val="00173530"/>
    <w:pPr>
      <w:ind w:left="1200"/>
    </w:pPr>
  </w:style>
  <w:style w:type="paragraph" w:styleId="TOC8">
    <w:name w:val="toc 8"/>
    <w:basedOn w:val="TOC4"/>
    <w:next w:val="Normal"/>
    <w:autoRedefine/>
    <w:uiPriority w:val="39"/>
    <w:rsid w:val="007E6182"/>
    <w:pPr>
      <w:ind w:left="1680"/>
    </w:pPr>
  </w:style>
  <w:style w:type="paragraph" w:styleId="Heading1TOCWhite" w:customStyle="1">
    <w:name w:val="Heading 1 TOC White"/>
    <w:basedOn w:val="Heading1Toc"/>
    <w:next w:val="IntroductionFullWidthWhite"/>
    <w:uiPriority w:val="49"/>
    <w:semiHidden/>
    <w:qFormat/>
    <w:rsid w:val="00B23388"/>
    <w:pPr>
      <w:framePr w:wrap="around"/>
    </w:pPr>
    <w:rPr>
      <w:color w:val="FFFFFF" w:themeColor="background1"/>
    </w:rPr>
  </w:style>
  <w:style w:type="paragraph" w:styleId="IntroductionFullWidthWhite" w:customStyle="1">
    <w:name w:val="IntroductionFullWidthWhite"/>
    <w:basedOn w:val="IntroductionFullWidth"/>
    <w:next w:val="Normal"/>
    <w:uiPriority w:val="14"/>
    <w:qFormat/>
    <w:rsid w:val="00573BBD"/>
    <w:pPr>
      <w:framePr w:wrap="around"/>
    </w:pPr>
    <w:rPr>
      <w:color w:val="FFFFFF" w:themeColor="background1"/>
    </w:rPr>
  </w:style>
  <w:style w:type="paragraph" w:styleId="BiogHeading" w:customStyle="1">
    <w:name w:val="BiogHeading"/>
    <w:basedOn w:val="Heading3"/>
    <w:uiPriority w:val="37"/>
    <w:qFormat/>
    <w:rsid w:val="0032037A"/>
    <w:pPr>
      <w:spacing w:before="120"/>
    </w:pPr>
    <w:rPr>
      <w:lang w:val="de-DE"/>
    </w:rPr>
  </w:style>
  <w:style w:type="paragraph" w:styleId="Heading1Num2Col" w:customStyle="1">
    <w:name w:val="Heading 1Num 2Col"/>
    <w:basedOn w:val="Heading1Num"/>
    <w:next w:val="Normal"/>
    <w:uiPriority w:val="1"/>
    <w:qFormat/>
    <w:rsid w:val="007C0F12"/>
    <w:pPr>
      <w:framePr w:w="10206" w:wrap="around" w:hAnchor="text"/>
    </w:pPr>
  </w:style>
  <w:style w:type="paragraph" w:styleId="Heading1NumLand" w:customStyle="1">
    <w:name w:val="Heading 1Num Land"/>
    <w:basedOn w:val="Heading1Num"/>
    <w:next w:val="Normal"/>
    <w:uiPriority w:val="1"/>
    <w:qFormat/>
    <w:rsid w:val="00645D53"/>
    <w:pPr>
      <w:framePr w:w="13948" w:wrap="around" w:hAnchor="text" w:y="852"/>
    </w:pPr>
  </w:style>
  <w:style w:type="paragraph" w:styleId="Heading1Land" w:customStyle="1">
    <w:name w:val="Heading 1 Land"/>
    <w:basedOn w:val="Heading1"/>
    <w:next w:val="Normal"/>
    <w:uiPriority w:val="4"/>
    <w:qFormat/>
    <w:rsid w:val="00ED08CF"/>
    <w:pPr>
      <w:framePr w:w="13948" w:wrap="around" w:hAnchor="text" w:y="852"/>
    </w:pPr>
  </w:style>
  <w:style w:type="paragraph" w:styleId="Heading1ExecSummPage" w:customStyle="1">
    <w:name w:val="Heading 1 ExecSummPage"/>
    <w:basedOn w:val="Heading1Toc"/>
    <w:autoRedefine/>
    <w:uiPriority w:val="49"/>
    <w:semiHidden/>
    <w:qFormat/>
    <w:rsid w:val="001A2D09"/>
    <w:pPr>
      <w:framePr w:w="0" w:wrap="auto" w:vAnchor="margin" w:yAlign="inline"/>
    </w:pPr>
    <w:rPr>
      <w:caps/>
    </w:rPr>
  </w:style>
  <w:style w:type="paragraph" w:styleId="IntroductionExecSummary" w:customStyle="1">
    <w:name w:val="Introduction ExecSummary"/>
    <w:basedOn w:val="IntroductionFullWidth"/>
    <w:uiPriority w:val="11"/>
    <w:qFormat/>
    <w:rsid w:val="00C25403"/>
    <w:pPr>
      <w:framePr w:w="0" w:wrap="auto" w:vAnchor="margin" w:yAlign="inline"/>
    </w:pPr>
  </w:style>
  <w:style w:type="paragraph" w:styleId="Heading1NoTOC" w:customStyle="1">
    <w:name w:val="Heading 1NoTOC"/>
    <w:basedOn w:val="Heading1ExecSummPage"/>
    <w:uiPriority w:val="49"/>
    <w:semiHidden/>
    <w:qFormat/>
    <w:rsid w:val="00D61BE0"/>
    <w:pPr>
      <w:framePr w:wrap="around" w:hAnchor="text"/>
    </w:pPr>
  </w:style>
  <w:style w:type="paragraph" w:styleId="DividerTextBlue" w:customStyle="1">
    <w:name w:val="DividerTextBlue"/>
    <w:basedOn w:val="Normal"/>
    <w:next w:val="Normal"/>
    <w:uiPriority w:val="33"/>
    <w:qFormat/>
    <w:rsid w:val="00585951"/>
    <w:pPr>
      <w:keepLines/>
      <w:pageBreakBefore/>
      <w:framePr w:w="10206" w:h="12020" w:wrap="around" w:hAnchor="text" w:vAnchor="text" w:y="1" w:hRule="exact"/>
      <w:spacing w:after="10000" w:line="276" w:lineRule="auto"/>
      <w:ind w:left="1588" w:right="1701"/>
    </w:pPr>
    <w:rPr>
      <w:caps/>
      <w:color w:val="009CDE" w:themeColor="text2"/>
      <w:sz w:val="40"/>
    </w:rPr>
  </w:style>
  <w:style w:type="paragraph" w:styleId="DividerTextGreen" w:customStyle="1">
    <w:name w:val="DividerTextGreen"/>
    <w:basedOn w:val="DividerTextBlue"/>
    <w:next w:val="Normal"/>
    <w:uiPriority w:val="33"/>
    <w:qFormat/>
    <w:rsid w:val="00585951"/>
    <w:pPr>
      <w:framePr w:wrap="around"/>
    </w:pPr>
    <w:rPr>
      <w:color w:val="3F9C35" w:themeColor="background2"/>
    </w:rPr>
  </w:style>
  <w:style w:type="numbering" w:styleId="NumbLstTables" w:customStyle="1">
    <w:name w:val="NumbLstTables"/>
    <w:uiPriority w:val="99"/>
    <w:rsid w:val="007D140C"/>
    <w:pPr>
      <w:numPr>
        <w:numId w:val="5"/>
      </w:numPr>
    </w:pPr>
  </w:style>
  <w:style w:type="paragraph" w:styleId="QuoteBlue" w:customStyle="1">
    <w:name w:val="QuoteBlue"/>
    <w:basedOn w:val="Quote"/>
    <w:uiPriority w:val="38"/>
    <w:qFormat/>
    <w:rsid w:val="002B7E35"/>
    <w:pPr>
      <w:framePr w:wrap="around"/>
    </w:pPr>
    <w:rPr>
      <w:color w:val="009CDE" w:themeColor="text2"/>
    </w:rPr>
  </w:style>
  <w:style w:type="paragraph" w:styleId="QuoteAuthorBlue" w:customStyle="1">
    <w:name w:val="QuoteAuthorBlue"/>
    <w:basedOn w:val="QuoteAuthor"/>
    <w:next w:val="Normal"/>
    <w:uiPriority w:val="38"/>
    <w:qFormat/>
    <w:rsid w:val="002B7E35"/>
    <w:pPr>
      <w:framePr w:wrap="around"/>
    </w:pPr>
    <w:rPr>
      <w:color w:val="009CDE" w:themeColor="text2"/>
    </w:rPr>
  </w:style>
  <w:style w:type="paragraph" w:styleId="QuoteMarksBlue" w:customStyle="1">
    <w:name w:val="QuoteMarksBlue"/>
    <w:basedOn w:val="QuoteMarks"/>
    <w:next w:val="QuoteAuthorBlue"/>
    <w:uiPriority w:val="38"/>
    <w:qFormat/>
    <w:rsid w:val="002B7E35"/>
    <w:pPr>
      <w:framePr w:wrap="around"/>
    </w:pPr>
    <w:rPr>
      <w:color w:val="009CDE" w:themeColor="text2"/>
    </w:rPr>
  </w:style>
  <w:style w:type="paragraph" w:styleId="QuoteOpenBlue" w:customStyle="1">
    <w:name w:val="QuoteOpenBlue"/>
    <w:basedOn w:val="QuoteOpen"/>
    <w:next w:val="QuoteBlue"/>
    <w:uiPriority w:val="38"/>
    <w:qFormat/>
    <w:rsid w:val="002B7E35"/>
    <w:pPr>
      <w:framePr w:wrap="around"/>
    </w:pPr>
    <w:rPr>
      <w:color w:val="009CDE" w:themeColor="text2"/>
    </w:rPr>
  </w:style>
  <w:style w:type="paragraph" w:styleId="QuoteOpenGreen" w:customStyle="1">
    <w:name w:val="QuoteOpenGreen"/>
    <w:basedOn w:val="QuoteOpenBlue"/>
    <w:next w:val="QuoteGreen"/>
    <w:uiPriority w:val="38"/>
    <w:qFormat/>
    <w:rsid w:val="002B7E35"/>
    <w:pPr>
      <w:framePr w:wrap="around"/>
    </w:pPr>
    <w:rPr>
      <w:color w:val="3F9C35" w:themeColor="background2"/>
    </w:rPr>
  </w:style>
  <w:style w:type="paragraph" w:styleId="QuoteGreen" w:customStyle="1">
    <w:name w:val="QuoteGreen"/>
    <w:basedOn w:val="QuoteBlue"/>
    <w:uiPriority w:val="38"/>
    <w:qFormat/>
    <w:rsid w:val="002B7E35"/>
    <w:pPr>
      <w:framePr w:wrap="around"/>
    </w:pPr>
    <w:rPr>
      <w:color w:val="3F9C35" w:themeColor="background2"/>
    </w:rPr>
  </w:style>
  <w:style w:type="paragraph" w:styleId="QuoteMarksGreen" w:customStyle="1">
    <w:name w:val="QuoteMarksGreen"/>
    <w:basedOn w:val="QuoteMarksBlue"/>
    <w:next w:val="QuoteAuthorGreen"/>
    <w:uiPriority w:val="38"/>
    <w:qFormat/>
    <w:rsid w:val="002B7E35"/>
    <w:pPr>
      <w:framePr w:wrap="around"/>
    </w:pPr>
    <w:rPr>
      <w:color w:val="3F9C35" w:themeColor="background2"/>
    </w:rPr>
  </w:style>
  <w:style w:type="paragraph" w:styleId="QuoteAuthorGreen" w:customStyle="1">
    <w:name w:val="QuoteAuthorGreen"/>
    <w:basedOn w:val="QuoteAuthorBlue"/>
    <w:next w:val="Normal"/>
    <w:uiPriority w:val="38"/>
    <w:qFormat/>
    <w:rsid w:val="002B7E35"/>
    <w:pPr>
      <w:framePr w:wrap="around"/>
    </w:pPr>
    <w:rPr>
      <w:color w:val="3F9C35" w:themeColor="background2"/>
    </w:rPr>
  </w:style>
  <w:style w:type="paragraph" w:styleId="Heading1NumCont" w:customStyle="1">
    <w:name w:val="Heading 1NumCont"/>
    <w:basedOn w:val="Heading1Num"/>
    <w:next w:val="Normal"/>
    <w:uiPriority w:val="4"/>
    <w:qFormat/>
    <w:rsid w:val="004B3C55"/>
    <w:pPr>
      <w:spacing w:before="480" w:after="360"/>
    </w:pPr>
  </w:style>
  <w:style w:type="paragraph" w:styleId="Heading1Cont" w:customStyle="1">
    <w:name w:val="Heading 1Cont"/>
    <w:basedOn w:val="Heading1"/>
    <w:next w:val="Normal"/>
    <w:uiPriority w:val="4"/>
    <w:qFormat/>
    <w:rsid w:val="003C3F38"/>
    <w:pPr>
      <w:pageBreakBefore w:val="0"/>
      <w:spacing w:before="480" w:after="360"/>
    </w:pPr>
  </w:style>
  <w:style w:type="paragraph" w:styleId="BiogAddress" w:customStyle="1">
    <w:name w:val="BiogAddress"/>
    <w:basedOn w:val="BiogContact"/>
    <w:uiPriority w:val="4"/>
    <w:qFormat/>
    <w:rsid w:val="00E05150"/>
    <w:pPr>
      <w:spacing w:after="120"/>
    </w:pPr>
  </w:style>
  <w:style w:type="paragraph" w:styleId="TitleHeaderEnd" w:customStyle="1">
    <w:name w:val="TitleHeaderEnd"/>
    <w:basedOn w:val="Header"/>
    <w:uiPriority w:val="4"/>
    <w:semiHidden/>
    <w:qFormat/>
    <w:rsid w:val="0017743A"/>
    <w:rPr>
      <w:position w:val="-6"/>
      <w:sz w:val="2"/>
      <w:szCs w:val="2"/>
    </w:rPr>
  </w:style>
  <w:style w:type="numbering" w:styleId="NumbLstNumblist" w:customStyle="1">
    <w:name w:val="NumbLstNumblist"/>
    <w:uiPriority w:val="99"/>
    <w:rsid w:val="00FB5E15"/>
    <w:pPr>
      <w:numPr>
        <w:numId w:val="6"/>
      </w:numPr>
    </w:pPr>
  </w:style>
  <w:style w:type="paragraph" w:styleId="Head1Num2C2R" w:customStyle="1">
    <w:name w:val="Head1Num2C2R"/>
    <w:basedOn w:val="Heading1Num2Col"/>
    <w:next w:val="Normal"/>
    <w:uiPriority w:val="4"/>
    <w:qFormat/>
    <w:rsid w:val="00645D53"/>
    <w:pPr>
      <w:framePr w:wrap="around" w:y="2382"/>
    </w:pPr>
  </w:style>
  <w:style w:type="paragraph" w:styleId="Head1Num2R" w:customStyle="1">
    <w:name w:val="Head1Num2R"/>
    <w:basedOn w:val="Heading1Num"/>
    <w:next w:val="Normal"/>
    <w:uiPriority w:val="4"/>
    <w:qFormat/>
    <w:rsid w:val="00645D53"/>
    <w:pPr>
      <w:framePr w:wrap="around" w:hAnchor="text" w:y="2382"/>
    </w:pPr>
  </w:style>
  <w:style w:type="paragraph" w:styleId="Head12R" w:customStyle="1">
    <w:name w:val="Head12R"/>
    <w:basedOn w:val="Heading1"/>
    <w:next w:val="Normal"/>
    <w:uiPriority w:val="4"/>
    <w:qFormat/>
    <w:rsid w:val="002A7B72"/>
    <w:pPr>
      <w:framePr w:wrap="around" w:hAnchor="text" w:y="2382"/>
    </w:pPr>
  </w:style>
  <w:style w:type="paragraph" w:styleId="Head12C2R" w:customStyle="1">
    <w:name w:val="Head12C2R"/>
    <w:basedOn w:val="Heading12Col"/>
    <w:next w:val="Normal"/>
    <w:uiPriority w:val="4"/>
    <w:qFormat/>
    <w:rsid w:val="00F40DB8"/>
    <w:pPr>
      <w:framePr w:wrap="around" w:y="2382"/>
    </w:pPr>
  </w:style>
  <w:style w:type="paragraph" w:styleId="Heading1BackPage" w:customStyle="1">
    <w:name w:val="Heading 1 BackPage"/>
    <w:basedOn w:val="Heading12Col"/>
    <w:uiPriority w:val="99"/>
    <w:semiHidden/>
    <w:qFormat/>
    <w:rsid w:val="00C254CD"/>
    <w:pPr>
      <w:framePr w:wrap="around"/>
    </w:pPr>
  </w:style>
  <w:style w:type="character" w:styleId="CommentReference">
    <w:name w:val="annotation reference"/>
    <w:basedOn w:val="DefaultParagraphFont"/>
    <w:uiPriority w:val="99"/>
    <w:semiHidden/>
    <w:unhideWhenUsed/>
    <w:rsid w:val="00D344A2"/>
    <w:rPr>
      <w:sz w:val="16"/>
      <w:szCs w:val="16"/>
    </w:rPr>
  </w:style>
  <w:style w:type="paragraph" w:styleId="CommentText">
    <w:name w:val="annotation text"/>
    <w:basedOn w:val="Normal"/>
    <w:link w:val="CommentTextChar"/>
    <w:uiPriority w:val="99"/>
    <w:unhideWhenUsed/>
    <w:rsid w:val="00D344A2"/>
    <w:pPr>
      <w:spacing w:line="240" w:lineRule="auto"/>
    </w:pPr>
    <w:rPr>
      <w:szCs w:val="20"/>
    </w:rPr>
  </w:style>
  <w:style w:type="character" w:styleId="CommentTextChar" w:customStyle="1">
    <w:name w:val="Comment Text Char"/>
    <w:basedOn w:val="DefaultParagraphFont"/>
    <w:link w:val="CommentText"/>
    <w:uiPriority w:val="99"/>
    <w:rsid w:val="00D344A2"/>
    <w:rPr>
      <w:rFonts w:ascii="Arial" w:hAnsi="Arial"/>
      <w:color w:val="63666A" w:themeColor="text1"/>
      <w:sz w:val="20"/>
      <w:szCs w:val="20"/>
    </w:rPr>
  </w:style>
  <w:style w:type="paragraph" w:styleId="CommentSubject">
    <w:name w:val="annotation subject"/>
    <w:basedOn w:val="CommentText"/>
    <w:next w:val="CommentText"/>
    <w:link w:val="CommentSubjectChar"/>
    <w:uiPriority w:val="99"/>
    <w:semiHidden/>
    <w:unhideWhenUsed/>
    <w:rsid w:val="00D344A2"/>
    <w:rPr>
      <w:b/>
      <w:bCs/>
    </w:rPr>
  </w:style>
  <w:style w:type="character" w:styleId="CommentSubjectChar" w:customStyle="1">
    <w:name w:val="Comment Subject Char"/>
    <w:basedOn w:val="CommentTextChar"/>
    <w:link w:val="CommentSubject"/>
    <w:uiPriority w:val="99"/>
    <w:semiHidden/>
    <w:rsid w:val="00D344A2"/>
    <w:rPr>
      <w:rFonts w:ascii="Arial" w:hAnsi="Arial"/>
      <w:b/>
      <w:bCs/>
      <w:color w:val="63666A" w:themeColor="text1"/>
      <w:sz w:val="20"/>
      <w:szCs w:val="20"/>
    </w:rPr>
  </w:style>
  <w:style w:type="paragraph" w:styleId="ListParagraph">
    <w:name w:val="List Paragraph"/>
    <w:aliases w:val="Bullet,NumberedList,Colorful List - Accent 11,Number,Table Figure,Bullets,F5 List Paragraph,List Paragraph1,Dot pt,No Spacing1,List Paragraph Char Char Char,Indicator Text,Numbered Para 1,Bullet Points,MAIN CONTENT,List Paragraph11,lp1"/>
    <w:basedOn w:val="Normal"/>
    <w:link w:val="ListParagraphChar"/>
    <w:uiPriority w:val="34"/>
    <w:qFormat/>
    <w:rsid w:val="002A251C"/>
    <w:pPr>
      <w:contextualSpacing/>
    </w:pPr>
  </w:style>
  <w:style w:type="character" w:styleId="ListParagraphChar" w:customStyle="1">
    <w:name w:val="List Paragraph Char"/>
    <w:aliases w:val="Bullet Char,NumberedList Char,Colorful List - Accent 11 Char,Number Char,Table Figure Char,Bullets Char,F5 List Paragraph Char,List Paragraph1 Char,Dot pt Char,No Spacing1 Char,List Paragraph Char Char Char Char,Indicator Text Char"/>
    <w:basedOn w:val="DefaultParagraphFont"/>
    <w:link w:val="ListParagraph"/>
    <w:uiPriority w:val="34"/>
    <w:qFormat/>
    <w:locked/>
    <w:rsid w:val="002A251C"/>
    <w:rPr>
      <w:rFonts w:ascii="Arial" w:hAnsi="Arial"/>
      <w:sz w:val="24"/>
    </w:rPr>
  </w:style>
  <w:style w:type="paragraph" w:styleId="BodyText">
    <w:name w:val="Body Text"/>
    <w:basedOn w:val="Normal"/>
    <w:link w:val="BodyTextChar"/>
    <w:uiPriority w:val="99"/>
    <w:rsid w:val="00E92EF1"/>
    <w:pPr>
      <w:spacing w:before="120" w:after="120"/>
    </w:pPr>
    <w:rPr>
      <w:rFonts w:asciiTheme="minorHAnsi" w:hAnsiTheme="minorHAnsi"/>
      <w:sz w:val="18"/>
      <w:szCs w:val="18"/>
    </w:rPr>
  </w:style>
  <w:style w:type="character" w:styleId="BodyTextChar" w:customStyle="1">
    <w:name w:val="Body Text Char"/>
    <w:basedOn w:val="DefaultParagraphFont"/>
    <w:link w:val="BodyText"/>
    <w:uiPriority w:val="99"/>
    <w:rsid w:val="00E92EF1"/>
    <w:rPr>
      <w:color w:val="63666A" w:themeColor="text1"/>
      <w:sz w:val="18"/>
      <w:szCs w:val="18"/>
    </w:rPr>
  </w:style>
  <w:style w:type="character" w:styleId="FootnoteReference">
    <w:name w:val="footnote reference"/>
    <w:aliases w:val="ftref,Footnote symbol,Footnote reference number,Times 10 Point,Exposant 3 Point,EN Footnote Reference,note TESI,-E Fußnotenzeichen,Footnote Reference/,number,Footnote Reference Number,Voetnootverwijzing,Fußnotenzeichen2,BVI fnr,callou"/>
    <w:basedOn w:val="DefaultParagraphFont"/>
    <w:uiPriority w:val="99"/>
    <w:rsid w:val="00E92EF1"/>
    <w:rPr>
      <w:vertAlign w:val="superscript"/>
      <w:lang w:val="en-GB"/>
    </w:rPr>
  </w:style>
  <w:style w:type="paragraph" w:styleId="FootnoteText">
    <w:name w:val="footnote text"/>
    <w:aliases w:val="~FootnoteText,FOOTNOTES,Footnote Text Char1,Footnote Text Char Char,Footnote Text Char1 Char Char Char,Footnote Text Char Char Char Char Char,Footnote Text1 Char Char Char,Footnote Text Char1 Char1 Char,fn,o,f"/>
    <w:basedOn w:val="Normal"/>
    <w:link w:val="FootnoteTextChar"/>
    <w:uiPriority w:val="99"/>
    <w:qFormat/>
    <w:rsid w:val="000C4739"/>
    <w:pPr>
      <w:spacing w:after="0" w:line="240" w:lineRule="auto"/>
    </w:pPr>
    <w:rPr>
      <w:rFonts w:eastAsia="MS Mincho"/>
      <w:szCs w:val="14"/>
    </w:rPr>
  </w:style>
  <w:style w:type="character" w:styleId="FootnoteTextChar" w:customStyle="1">
    <w:name w:val="Footnote Text Char"/>
    <w:aliases w:val="~FootnoteText Char,FOOTNOTES Char,Footnote Text Char1 Char,Footnote Text Char Char Char,Footnote Text Char1 Char Char Char Char,Footnote Text Char Char Char Char Char Char,Footnote Text1 Char Char Char Char,fn Char,o Char,f Char"/>
    <w:basedOn w:val="DefaultParagraphFont"/>
    <w:link w:val="FootnoteText"/>
    <w:uiPriority w:val="99"/>
    <w:rsid w:val="000C4739"/>
    <w:rPr>
      <w:rFonts w:ascii="Arial" w:hAnsi="Arial" w:eastAsia="MS Mincho"/>
      <w:sz w:val="24"/>
      <w:szCs w:val="14"/>
    </w:rPr>
  </w:style>
  <w:style w:type="table" w:styleId="ForfasTableGrid111" w:customStyle="1">
    <w:name w:val="Forfas Table Grid111"/>
    <w:basedOn w:val="TableNormal"/>
    <w:next w:val="TableGrid"/>
    <w:uiPriority w:val="39"/>
    <w:rsid w:val="00E92EF1"/>
    <w:pPr>
      <w:spacing w:after="0" w:line="240" w:lineRule="auto"/>
    </w:pPr>
    <w:rPr>
      <w:rFonts w:ascii="Arial" w:hAnsi="Arial" w:eastAsia="Calibri" w:cs="Times New Roman"/>
      <w:sz w:val="20"/>
      <w:szCs w:val="20"/>
      <w:lang w:eastAsia="en-GB"/>
    </w:rPr>
    <w:tblPr>
      <w:tblStyleRow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tblPr/>
      <w:tcPr>
        <w:shd w:val="clear" w:color="auto" w:fill="009CDE"/>
      </w:tcPr>
    </w:tblStylePr>
    <w:tblStylePr w:type="lastRow">
      <w:rPr>
        <w:color w:val="FFFFFF"/>
      </w:rPr>
      <w:tblPr/>
      <w:tcPr>
        <w:tcBorders>
          <w:top w:val="single" w:color="FFFFFF" w:sz="4" w:space="0"/>
          <w:left w:val="single" w:color="FFFFFF" w:sz="4" w:space="0"/>
          <w:bottom w:val="single" w:color="FFFFFF" w:sz="4" w:space="0"/>
          <w:right w:val="single" w:color="FFFFFF" w:sz="4" w:space="0"/>
          <w:insideH w:val="single" w:color="FFFFFF" w:sz="4" w:space="0"/>
          <w:insideV w:val="single" w:color="FFFFFF" w:sz="4" w:space="0"/>
        </w:tcBorders>
        <w:shd w:val="clear" w:color="auto" w:fill="63666A"/>
      </w:tcPr>
    </w:tblStylePr>
    <w:tblStylePr w:type="band1Horz">
      <w:tblPr/>
      <w:tcPr>
        <w:shd w:val="clear" w:color="auto" w:fill="D9D9D9"/>
      </w:tcPr>
    </w:tblStylePr>
    <w:tblStylePr w:type="band2Horz">
      <w:tblPr/>
      <w:tcPr>
        <w:shd w:val="clear" w:color="auto" w:fill="F2F2F2"/>
      </w:tcPr>
    </w:tblStylePr>
  </w:style>
  <w:style w:type="table" w:styleId="ForfasTableGrid11" w:customStyle="1">
    <w:name w:val="Forfas Table Grid11"/>
    <w:basedOn w:val="TableNormal"/>
    <w:next w:val="TableGrid"/>
    <w:uiPriority w:val="39"/>
    <w:rsid w:val="00B05F9A"/>
    <w:pPr>
      <w:spacing w:after="0" w:line="240" w:lineRule="auto"/>
    </w:pPr>
    <w:rPr>
      <w:rFonts w:ascii="Arial" w:hAnsi="Arial" w:eastAsia="Calibri" w:cs="Times New Roman"/>
      <w:sz w:val="20"/>
      <w:szCs w:val="20"/>
      <w:lang w:eastAsia="en-GB"/>
    </w:rPr>
    <w:tblPr>
      <w:tblStyleRow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tblPr/>
      <w:tcPr>
        <w:shd w:val="clear" w:color="auto" w:fill="009CDE"/>
      </w:tcPr>
    </w:tblStylePr>
    <w:tblStylePr w:type="lastRow">
      <w:rPr>
        <w:color w:val="FFFFFF"/>
      </w:rPr>
      <w:tblPr/>
      <w:tcPr>
        <w:tcBorders>
          <w:top w:val="single" w:color="FFFFFF" w:sz="4" w:space="0"/>
          <w:left w:val="single" w:color="FFFFFF" w:sz="4" w:space="0"/>
          <w:bottom w:val="single" w:color="FFFFFF" w:sz="4" w:space="0"/>
          <w:right w:val="single" w:color="FFFFFF" w:sz="4" w:space="0"/>
          <w:insideH w:val="single" w:color="FFFFFF" w:sz="4" w:space="0"/>
          <w:insideV w:val="single" w:color="FFFFFF" w:sz="4" w:space="0"/>
        </w:tcBorders>
        <w:shd w:val="clear" w:color="auto" w:fill="63666A"/>
      </w:tcPr>
    </w:tblStylePr>
    <w:tblStylePr w:type="band1Horz">
      <w:tblPr/>
      <w:tcPr>
        <w:shd w:val="clear" w:color="auto" w:fill="D9D9D9"/>
      </w:tcPr>
    </w:tblStylePr>
    <w:tblStylePr w:type="band2Horz">
      <w:tblPr/>
      <w:tcPr>
        <w:shd w:val="clear" w:color="auto" w:fill="F2F2F2"/>
      </w:tcPr>
    </w:tblStylePr>
  </w:style>
  <w:style w:type="paragraph" w:styleId="Caption">
    <w:name w:val="caption"/>
    <w:basedOn w:val="Normal"/>
    <w:next w:val="Normal"/>
    <w:autoRedefine/>
    <w:uiPriority w:val="49"/>
    <w:unhideWhenUsed/>
    <w:qFormat/>
    <w:rsid w:val="00EC0502"/>
    <w:pPr>
      <w:keepNext/>
      <w:spacing w:after="120" w:line="240" w:lineRule="auto"/>
    </w:pPr>
    <w:rPr>
      <w:b/>
      <w:iCs/>
      <w:szCs w:val="18"/>
    </w:rPr>
  </w:style>
  <w:style w:type="table" w:styleId="ForfasTableGrid113" w:customStyle="1">
    <w:name w:val="Forfas Table Grid113"/>
    <w:basedOn w:val="TableNormal"/>
    <w:next w:val="TableGrid"/>
    <w:uiPriority w:val="39"/>
    <w:rsid w:val="00242BB7"/>
    <w:pPr>
      <w:spacing w:after="0" w:line="240" w:lineRule="auto"/>
    </w:pPr>
    <w:rPr>
      <w:rFonts w:ascii="Arial" w:hAnsi="Arial" w:eastAsia="Calibri" w:cs="Times New Roman"/>
      <w:sz w:val="20"/>
      <w:szCs w:val="20"/>
      <w:lang w:eastAsia="en-GB"/>
    </w:rPr>
    <w:tblPr>
      <w:tblStyleRow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tblPr/>
      <w:tcPr>
        <w:shd w:val="clear" w:color="auto" w:fill="009CDE"/>
      </w:tcPr>
    </w:tblStylePr>
    <w:tblStylePr w:type="lastRow">
      <w:rPr>
        <w:color w:val="FFFFFF"/>
      </w:rPr>
      <w:tblPr/>
      <w:tcPr>
        <w:tcBorders>
          <w:top w:val="single" w:color="FFFFFF" w:sz="4" w:space="0"/>
          <w:left w:val="single" w:color="FFFFFF" w:sz="4" w:space="0"/>
          <w:bottom w:val="single" w:color="FFFFFF" w:sz="4" w:space="0"/>
          <w:right w:val="single" w:color="FFFFFF" w:sz="4" w:space="0"/>
          <w:insideH w:val="single" w:color="FFFFFF" w:sz="4" w:space="0"/>
          <w:insideV w:val="single" w:color="FFFFFF" w:sz="4" w:space="0"/>
        </w:tcBorders>
        <w:shd w:val="clear" w:color="auto" w:fill="63666A"/>
      </w:tcPr>
    </w:tblStylePr>
    <w:tblStylePr w:type="band1Horz">
      <w:tblPr/>
      <w:tcPr>
        <w:shd w:val="clear" w:color="auto" w:fill="D9D9D9"/>
      </w:tcPr>
    </w:tblStylePr>
    <w:tblStylePr w:type="band2Horz">
      <w:tblPr/>
      <w:tcPr>
        <w:shd w:val="clear" w:color="auto" w:fill="F2F2F2"/>
      </w:tcPr>
    </w:tblStylePr>
  </w:style>
  <w:style w:type="table" w:styleId="GridTable4-Accent2">
    <w:name w:val="Grid Table 4 Accent 2"/>
    <w:basedOn w:val="TableNormal"/>
    <w:uiPriority w:val="49"/>
    <w:rsid w:val="00B80ED6"/>
    <w:pPr>
      <w:spacing w:after="0" w:line="240" w:lineRule="auto"/>
    </w:pPr>
    <w:tblPr>
      <w:tblStyleRowBandSize w:val="1"/>
      <w:tblStyleColBandSize w:val="1"/>
      <w:tblBorders>
        <w:top w:val="single" w:color="80D178" w:themeColor="accent2" w:themeTint="99" w:sz="4" w:space="0"/>
        <w:left w:val="single" w:color="80D178" w:themeColor="accent2" w:themeTint="99" w:sz="4" w:space="0"/>
        <w:bottom w:val="single" w:color="80D178" w:themeColor="accent2" w:themeTint="99" w:sz="4" w:space="0"/>
        <w:right w:val="single" w:color="80D178" w:themeColor="accent2" w:themeTint="99" w:sz="4" w:space="0"/>
        <w:insideH w:val="single" w:color="80D178" w:themeColor="accent2" w:themeTint="99" w:sz="4" w:space="0"/>
        <w:insideV w:val="single" w:color="80D178" w:themeColor="accent2" w:themeTint="99" w:sz="4" w:space="0"/>
      </w:tblBorders>
    </w:tblPr>
    <w:tblStylePr w:type="firstRow">
      <w:rPr>
        <w:b/>
        <w:bCs/>
        <w:color w:val="FFFFFF" w:themeColor="background1"/>
      </w:rPr>
      <w:tblPr/>
      <w:tcPr>
        <w:tcBorders>
          <w:top w:val="single" w:color="3F9C35" w:themeColor="accent2" w:sz="4" w:space="0"/>
          <w:left w:val="single" w:color="3F9C35" w:themeColor="accent2" w:sz="4" w:space="0"/>
          <w:bottom w:val="single" w:color="3F9C35" w:themeColor="accent2" w:sz="4" w:space="0"/>
          <w:right w:val="single" w:color="3F9C35" w:themeColor="accent2" w:sz="4" w:space="0"/>
          <w:insideH w:val="nil"/>
          <w:insideV w:val="nil"/>
        </w:tcBorders>
        <w:shd w:val="clear" w:color="auto" w:fill="3F9C35" w:themeFill="accent2"/>
      </w:tcPr>
    </w:tblStylePr>
    <w:tblStylePr w:type="lastRow">
      <w:rPr>
        <w:b/>
        <w:bCs/>
      </w:rPr>
      <w:tblPr/>
      <w:tcPr>
        <w:tcBorders>
          <w:top w:val="double" w:color="3F9C35" w:themeColor="accent2" w:sz="4" w:space="0"/>
        </w:tcBorders>
      </w:tcPr>
    </w:tblStylePr>
    <w:tblStylePr w:type="firstCol">
      <w:rPr>
        <w:b/>
        <w:bCs/>
      </w:rPr>
    </w:tblStylePr>
    <w:tblStylePr w:type="lastCol">
      <w:rPr>
        <w:b/>
        <w:bCs/>
      </w:rPr>
    </w:tblStylePr>
    <w:tblStylePr w:type="band1Vert">
      <w:tblPr/>
      <w:tcPr>
        <w:shd w:val="clear" w:color="auto" w:fill="D4EFD1" w:themeFill="accent2" w:themeFillTint="33"/>
      </w:tcPr>
    </w:tblStylePr>
    <w:tblStylePr w:type="band1Horz">
      <w:tblPr/>
      <w:tcPr>
        <w:shd w:val="clear" w:color="auto" w:fill="D4EFD1" w:themeFill="accent2" w:themeFillTint="33"/>
      </w:tcPr>
    </w:tblStylePr>
  </w:style>
  <w:style w:type="table" w:styleId="GridTable2-Accent2">
    <w:name w:val="Grid Table 2 Accent 2"/>
    <w:basedOn w:val="TableNormal"/>
    <w:uiPriority w:val="47"/>
    <w:rsid w:val="00993CBD"/>
    <w:pPr>
      <w:spacing w:after="0" w:line="240" w:lineRule="auto"/>
    </w:pPr>
    <w:tblPr>
      <w:tblStyleRowBandSize w:val="1"/>
      <w:tblStyleColBandSize w:val="1"/>
      <w:tblBorders>
        <w:top w:val="single" w:color="80D178" w:themeColor="accent2" w:themeTint="99" w:sz="2" w:space="0"/>
        <w:bottom w:val="single" w:color="80D178" w:themeColor="accent2" w:themeTint="99" w:sz="2" w:space="0"/>
        <w:insideH w:val="single" w:color="80D178" w:themeColor="accent2" w:themeTint="99" w:sz="2" w:space="0"/>
        <w:insideV w:val="single" w:color="80D178" w:themeColor="accent2" w:themeTint="99" w:sz="2" w:space="0"/>
      </w:tblBorders>
    </w:tblPr>
    <w:tblStylePr w:type="firstRow">
      <w:rPr>
        <w:b/>
        <w:bCs/>
      </w:rPr>
      <w:tblPr/>
      <w:tcPr>
        <w:tcBorders>
          <w:top w:val="nil"/>
          <w:bottom w:val="single" w:color="80D178" w:themeColor="accent2" w:themeTint="99" w:sz="12" w:space="0"/>
          <w:insideH w:val="nil"/>
          <w:insideV w:val="nil"/>
        </w:tcBorders>
        <w:shd w:val="clear" w:color="auto" w:fill="FFFFFF" w:themeFill="background1"/>
      </w:tcPr>
    </w:tblStylePr>
    <w:tblStylePr w:type="lastRow">
      <w:rPr>
        <w:b/>
        <w:bCs/>
      </w:rPr>
      <w:tblPr/>
      <w:tcPr>
        <w:tcBorders>
          <w:top w:val="double" w:color="80D178"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FD1" w:themeFill="accent2" w:themeFillTint="33"/>
      </w:tcPr>
    </w:tblStylePr>
    <w:tblStylePr w:type="band1Horz">
      <w:tblPr/>
      <w:tcPr>
        <w:shd w:val="clear" w:color="auto" w:fill="D4EFD1" w:themeFill="accent2" w:themeFillTint="33"/>
      </w:tcPr>
    </w:tblStylePr>
  </w:style>
  <w:style w:type="paragraph" w:styleId="Revision">
    <w:name w:val="Revision"/>
    <w:hidden/>
    <w:uiPriority w:val="99"/>
    <w:semiHidden/>
    <w:rsid w:val="00993CBD"/>
    <w:pPr>
      <w:spacing w:after="0" w:line="240" w:lineRule="auto"/>
    </w:pPr>
    <w:rPr>
      <w:rFonts w:ascii="Arial" w:hAnsi="Arial"/>
      <w:color w:val="63666A" w:themeColor="text1"/>
      <w:sz w:val="20"/>
    </w:rPr>
  </w:style>
  <w:style w:type="character" w:styleId="UnresolvedMention">
    <w:name w:val="Unresolved Mention"/>
    <w:basedOn w:val="DefaultParagraphFont"/>
    <w:uiPriority w:val="99"/>
    <w:unhideWhenUsed/>
    <w:rsid w:val="00C22CAC"/>
    <w:rPr>
      <w:color w:val="605E5C"/>
      <w:shd w:val="clear" w:color="auto" w:fill="E1DFDD"/>
    </w:rPr>
  </w:style>
  <w:style w:type="table" w:styleId="ListTable3-Accent1">
    <w:name w:val="List Table 3 Accent 1"/>
    <w:basedOn w:val="TableNormal"/>
    <w:uiPriority w:val="48"/>
    <w:rsid w:val="008C1439"/>
    <w:pPr>
      <w:spacing w:after="0" w:line="240" w:lineRule="auto"/>
    </w:pPr>
    <w:tblPr>
      <w:tblStyleRowBandSize w:val="1"/>
      <w:tblStyleColBandSize w:val="1"/>
      <w:tblBorders>
        <w:top w:val="single" w:color="009CDE" w:themeColor="accent1" w:sz="4" w:space="0"/>
        <w:left w:val="single" w:color="009CDE" w:themeColor="accent1" w:sz="4" w:space="0"/>
        <w:bottom w:val="single" w:color="009CDE" w:themeColor="accent1" w:sz="4" w:space="0"/>
        <w:right w:val="single" w:color="009CDE" w:themeColor="accent1" w:sz="4" w:space="0"/>
      </w:tblBorders>
    </w:tblPr>
    <w:tblStylePr w:type="firstRow">
      <w:rPr>
        <w:b/>
        <w:bCs/>
        <w:color w:val="FFFFFF" w:themeColor="background1"/>
      </w:rPr>
      <w:tblPr/>
      <w:tcPr>
        <w:shd w:val="clear" w:color="auto" w:fill="009CDE" w:themeFill="accent1"/>
      </w:tcPr>
    </w:tblStylePr>
    <w:tblStylePr w:type="lastRow">
      <w:rPr>
        <w:b/>
        <w:bCs/>
      </w:rPr>
      <w:tblPr/>
      <w:tcPr>
        <w:tcBorders>
          <w:top w:val="double" w:color="009CDE"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9CDE" w:themeColor="accent1" w:sz="4" w:space="0"/>
          <w:right w:val="single" w:color="009CDE" w:themeColor="accent1" w:sz="4" w:space="0"/>
        </w:tcBorders>
      </w:tcPr>
    </w:tblStylePr>
    <w:tblStylePr w:type="band1Horz">
      <w:tblPr/>
      <w:tcPr>
        <w:tcBorders>
          <w:top w:val="single" w:color="009CDE" w:themeColor="accent1" w:sz="4" w:space="0"/>
          <w:bottom w:val="single" w:color="009CDE"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9CDE" w:themeColor="accent1" w:sz="4" w:space="0"/>
          <w:left w:val="nil"/>
        </w:tcBorders>
      </w:tcPr>
    </w:tblStylePr>
    <w:tblStylePr w:type="swCell">
      <w:tblPr/>
      <w:tcPr>
        <w:tcBorders>
          <w:top w:val="double" w:color="009CDE" w:themeColor="accent1" w:sz="4" w:space="0"/>
          <w:right w:val="nil"/>
        </w:tcBorders>
      </w:tcPr>
    </w:tblStylePr>
  </w:style>
  <w:style w:type="table" w:styleId="ListTable3-Accent2">
    <w:name w:val="List Table 3 Accent 2"/>
    <w:basedOn w:val="TableNormal"/>
    <w:uiPriority w:val="48"/>
    <w:rsid w:val="008C1439"/>
    <w:pPr>
      <w:spacing w:after="0" w:line="240" w:lineRule="auto"/>
    </w:pPr>
    <w:tblPr>
      <w:tblStyleRowBandSize w:val="1"/>
      <w:tblStyleColBandSize w:val="1"/>
      <w:tblBorders>
        <w:top w:val="single" w:color="3F9C35" w:themeColor="accent2" w:sz="4" w:space="0"/>
        <w:left w:val="single" w:color="3F9C35" w:themeColor="accent2" w:sz="4" w:space="0"/>
        <w:bottom w:val="single" w:color="3F9C35" w:themeColor="accent2" w:sz="4" w:space="0"/>
        <w:right w:val="single" w:color="3F9C35" w:themeColor="accent2" w:sz="4" w:space="0"/>
      </w:tblBorders>
    </w:tblPr>
    <w:tblStylePr w:type="firstRow">
      <w:rPr>
        <w:b/>
        <w:bCs/>
        <w:color w:val="FFFFFF" w:themeColor="background1"/>
      </w:rPr>
      <w:tblPr/>
      <w:tcPr>
        <w:shd w:val="clear" w:color="auto" w:fill="3F9C35" w:themeFill="accent2"/>
      </w:tcPr>
    </w:tblStylePr>
    <w:tblStylePr w:type="lastRow">
      <w:rPr>
        <w:b/>
        <w:bCs/>
      </w:rPr>
      <w:tblPr/>
      <w:tcPr>
        <w:tcBorders>
          <w:top w:val="double" w:color="3F9C35"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F9C35" w:themeColor="accent2" w:sz="4" w:space="0"/>
          <w:right w:val="single" w:color="3F9C35" w:themeColor="accent2" w:sz="4" w:space="0"/>
        </w:tcBorders>
      </w:tcPr>
    </w:tblStylePr>
    <w:tblStylePr w:type="band1Horz">
      <w:tblPr/>
      <w:tcPr>
        <w:tcBorders>
          <w:top w:val="single" w:color="3F9C35" w:themeColor="accent2" w:sz="4" w:space="0"/>
          <w:bottom w:val="single" w:color="3F9C35"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F9C35" w:themeColor="accent2" w:sz="4" w:space="0"/>
          <w:left w:val="nil"/>
        </w:tcBorders>
      </w:tcPr>
    </w:tblStylePr>
    <w:tblStylePr w:type="swCell">
      <w:tblPr/>
      <w:tcPr>
        <w:tcBorders>
          <w:top w:val="double" w:color="3F9C35" w:themeColor="accent2" w:sz="4" w:space="0"/>
          <w:right w:val="nil"/>
        </w:tcBorders>
      </w:tcPr>
    </w:tblStylePr>
  </w:style>
  <w:style w:type="character" w:styleId="FollowedHyperlink">
    <w:name w:val="FollowedHyperlink"/>
    <w:basedOn w:val="DefaultParagraphFont"/>
    <w:uiPriority w:val="99"/>
    <w:semiHidden/>
    <w:unhideWhenUsed/>
    <w:rsid w:val="005F7775"/>
    <w:rPr>
      <w:color w:val="3F9C35" w:themeColor="followedHyperlink"/>
      <w:u w:val="single"/>
    </w:rPr>
  </w:style>
  <w:style w:type="paragraph" w:styleId="TOCHeading">
    <w:name w:val="TOC Heading"/>
    <w:basedOn w:val="Heading1"/>
    <w:next w:val="Normal"/>
    <w:uiPriority w:val="39"/>
    <w:unhideWhenUsed/>
    <w:qFormat/>
    <w:rsid w:val="00211ADB"/>
    <w:pPr>
      <w:pageBreakBefore w:val="0"/>
      <w:spacing w:before="240" w:line="259" w:lineRule="auto"/>
      <w:outlineLvl w:val="9"/>
    </w:pPr>
    <w:rPr>
      <w:rFonts w:asciiTheme="majorHAnsi" w:hAnsiTheme="majorHAnsi"/>
      <w:bCs w:val="0"/>
      <w:caps/>
      <w:color w:val="0074A6" w:themeColor="accent1" w:themeShade="BF"/>
      <w:sz w:val="32"/>
      <w:szCs w:val="32"/>
      <w:lang w:val="en-US"/>
    </w:rPr>
  </w:style>
  <w:style w:type="paragraph" w:styleId="TableofFigures">
    <w:name w:val="table of figures"/>
    <w:basedOn w:val="Normal"/>
    <w:next w:val="Normal"/>
    <w:uiPriority w:val="99"/>
    <w:semiHidden/>
    <w:unhideWhenUsed/>
    <w:rsid w:val="00211ADB"/>
    <w:pPr>
      <w:spacing w:after="0"/>
    </w:pPr>
  </w:style>
  <w:style w:type="character" w:styleId="Mention">
    <w:name w:val="Mention"/>
    <w:basedOn w:val="DefaultParagraphFont"/>
    <w:uiPriority w:val="99"/>
    <w:unhideWhenUsed/>
    <w:rsid w:val="00BB5767"/>
    <w:rPr>
      <w:color w:val="2B579A"/>
      <w:shd w:val="clear" w:color="auto" w:fill="E1DFDD"/>
    </w:rPr>
  </w:style>
  <w:style w:type="character" w:styleId="Hyperlink1" w:customStyle="1">
    <w:name w:val="Hyperlink1"/>
    <w:basedOn w:val="DefaultParagraphFont"/>
    <w:uiPriority w:val="99"/>
    <w:rsid w:val="002E11E7"/>
    <w:rPr>
      <w:color w:val="009CDE"/>
      <w:u w:val="single"/>
    </w:rPr>
  </w:style>
  <w:style w:type="table" w:styleId="GridTable1Light-Accent1">
    <w:name w:val="Grid Table 1 Light Accent 1"/>
    <w:basedOn w:val="TableNormal"/>
    <w:uiPriority w:val="46"/>
    <w:rsid w:val="0092610F"/>
    <w:pPr>
      <w:spacing w:after="0" w:line="240" w:lineRule="auto"/>
    </w:pPr>
    <w:tblPr>
      <w:tblStyleRowBandSize w:val="1"/>
      <w:tblStyleColBandSize w:val="1"/>
      <w:tblBorders>
        <w:top w:val="single" w:color="8BDCFF" w:themeColor="accent1" w:themeTint="66" w:sz="4" w:space="0"/>
        <w:left w:val="single" w:color="8BDCFF" w:themeColor="accent1" w:themeTint="66" w:sz="4" w:space="0"/>
        <w:bottom w:val="single" w:color="8BDCFF" w:themeColor="accent1" w:themeTint="66" w:sz="4" w:space="0"/>
        <w:right w:val="single" w:color="8BDCFF" w:themeColor="accent1" w:themeTint="66" w:sz="4" w:space="0"/>
        <w:insideH w:val="single" w:color="8BDCFF" w:themeColor="accent1" w:themeTint="66" w:sz="4" w:space="0"/>
        <w:insideV w:val="single" w:color="8BDCFF" w:themeColor="accent1" w:themeTint="66" w:sz="4" w:space="0"/>
      </w:tblBorders>
    </w:tblPr>
    <w:tblStylePr w:type="firstRow">
      <w:rPr>
        <w:b/>
        <w:bCs/>
      </w:rPr>
      <w:tblPr/>
      <w:tcPr>
        <w:tcBorders>
          <w:bottom w:val="single" w:color="52CBFF" w:themeColor="accent1" w:themeTint="99" w:sz="12" w:space="0"/>
        </w:tcBorders>
      </w:tcPr>
    </w:tblStylePr>
    <w:tblStylePr w:type="lastRow">
      <w:rPr>
        <w:b/>
        <w:bCs/>
      </w:rPr>
      <w:tblPr/>
      <w:tcPr>
        <w:tcBorders>
          <w:top w:val="double" w:color="52CBFF" w:themeColor="accent1" w:themeTint="99" w:sz="2" w:space="0"/>
        </w:tcBorders>
      </w:tcPr>
    </w:tblStylePr>
    <w:tblStylePr w:type="firstCol">
      <w:rPr>
        <w:b/>
        <w:bCs/>
      </w:rPr>
    </w:tblStylePr>
    <w:tblStylePr w:type="lastCol">
      <w:rPr>
        <w:b/>
        <w:bCs/>
      </w:rPr>
    </w:tblStylePr>
  </w:style>
  <w:style w:type="table" w:styleId="TableGridLight">
    <w:name w:val="Grid Table Light"/>
    <w:basedOn w:val="TableNormal"/>
    <w:uiPriority w:val="40"/>
    <w:rsid w:val="0092610F"/>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GridTable4-Accent1">
    <w:name w:val="Grid Table 4 Accent 1"/>
    <w:basedOn w:val="TableNormal"/>
    <w:uiPriority w:val="49"/>
    <w:rsid w:val="001E6960"/>
    <w:pPr>
      <w:spacing w:after="0" w:line="240" w:lineRule="auto"/>
    </w:pPr>
    <w:tblPr>
      <w:tblStyleRowBandSize w:val="1"/>
      <w:tblStyleColBandSize w:val="1"/>
      <w:tblBorders>
        <w:top w:val="single" w:color="52CBFF" w:themeColor="accent1" w:themeTint="99" w:sz="4" w:space="0"/>
        <w:left w:val="single" w:color="52CBFF" w:themeColor="accent1" w:themeTint="99" w:sz="4" w:space="0"/>
        <w:bottom w:val="single" w:color="52CBFF" w:themeColor="accent1" w:themeTint="99" w:sz="4" w:space="0"/>
        <w:right w:val="single" w:color="52CBFF" w:themeColor="accent1" w:themeTint="99" w:sz="4" w:space="0"/>
        <w:insideH w:val="single" w:color="52CBFF" w:themeColor="accent1" w:themeTint="99" w:sz="4" w:space="0"/>
        <w:insideV w:val="single" w:color="52CBFF" w:themeColor="accent1" w:themeTint="99" w:sz="4" w:space="0"/>
      </w:tblBorders>
    </w:tblPr>
    <w:tblStylePr w:type="firstRow">
      <w:rPr>
        <w:b/>
        <w:bCs/>
        <w:color w:val="FFFFFF" w:themeColor="background1"/>
      </w:rPr>
      <w:tblPr/>
      <w:tcPr>
        <w:tcBorders>
          <w:top w:val="single" w:color="009CDE" w:themeColor="accent1" w:sz="4" w:space="0"/>
          <w:left w:val="single" w:color="009CDE" w:themeColor="accent1" w:sz="4" w:space="0"/>
          <w:bottom w:val="single" w:color="009CDE" w:themeColor="accent1" w:sz="4" w:space="0"/>
          <w:right w:val="single" w:color="009CDE" w:themeColor="accent1" w:sz="4" w:space="0"/>
          <w:insideH w:val="nil"/>
          <w:insideV w:val="nil"/>
        </w:tcBorders>
        <w:shd w:val="clear" w:color="auto" w:fill="009CDE" w:themeFill="accent1"/>
      </w:tcPr>
    </w:tblStylePr>
    <w:tblStylePr w:type="lastRow">
      <w:rPr>
        <w:b/>
        <w:bCs/>
      </w:rPr>
      <w:tblPr/>
      <w:tcPr>
        <w:tcBorders>
          <w:top w:val="double" w:color="009CDE" w:themeColor="accent1" w:sz="4" w:space="0"/>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table" w:styleId="GridTable4-Accent11" w:customStyle="1">
    <w:name w:val="Grid Table 4 - Accent 11"/>
    <w:basedOn w:val="TableNormal"/>
    <w:next w:val="GridTable4-Accent1"/>
    <w:uiPriority w:val="49"/>
    <w:rsid w:val="001E6960"/>
    <w:pPr>
      <w:spacing w:after="0" w:line="240" w:lineRule="auto"/>
    </w:pPr>
    <w:tblPr>
      <w:tblStyleRowBandSize w:val="1"/>
      <w:tblStyleColBandSize w:val="1"/>
      <w:tblBorders>
        <w:top w:val="single" w:color="52CBFF" w:sz="4" w:space="0"/>
        <w:left w:val="single" w:color="52CBFF" w:sz="4" w:space="0"/>
        <w:bottom w:val="single" w:color="52CBFF" w:sz="4" w:space="0"/>
        <w:right w:val="single" w:color="52CBFF" w:sz="4" w:space="0"/>
        <w:insideH w:val="single" w:color="52CBFF" w:sz="4" w:space="0"/>
        <w:insideV w:val="single" w:color="52CBFF" w:sz="4" w:space="0"/>
      </w:tblBorders>
    </w:tblPr>
    <w:tblStylePr w:type="firstRow">
      <w:rPr>
        <w:b/>
        <w:bCs/>
        <w:color w:val="FFFFFF"/>
      </w:rPr>
      <w:tblPr/>
      <w:tcPr>
        <w:tcBorders>
          <w:top w:val="single" w:color="009CDE" w:sz="4" w:space="0"/>
          <w:left w:val="single" w:color="009CDE" w:sz="4" w:space="0"/>
          <w:bottom w:val="single" w:color="009CDE" w:sz="4" w:space="0"/>
          <w:right w:val="single" w:color="009CDE" w:sz="4" w:space="0"/>
          <w:insideH w:val="nil"/>
          <w:insideV w:val="nil"/>
        </w:tcBorders>
        <w:shd w:val="clear" w:color="auto" w:fill="009CDE"/>
      </w:tcPr>
    </w:tblStylePr>
    <w:tblStylePr w:type="lastRow">
      <w:rPr>
        <w:b/>
        <w:bCs/>
      </w:rPr>
      <w:tblPr/>
      <w:tcPr>
        <w:tcBorders>
          <w:top w:val="double" w:color="009CDE" w:sz="4" w:space="0"/>
        </w:tcBorders>
      </w:tcPr>
    </w:tblStylePr>
    <w:tblStylePr w:type="firstCol">
      <w:rPr>
        <w:b/>
        <w:bCs/>
      </w:rPr>
    </w:tblStylePr>
    <w:tblStylePr w:type="lastCol">
      <w:rPr>
        <w:b/>
        <w:bCs/>
      </w:rPr>
    </w:tblStylePr>
    <w:tblStylePr w:type="band1Vert">
      <w:tblPr/>
      <w:tcPr>
        <w:shd w:val="clear" w:color="auto" w:fill="C5EDFF"/>
      </w:tcPr>
    </w:tblStylePr>
    <w:tblStylePr w:type="band1Horz">
      <w:tblPr/>
      <w:tcPr>
        <w:shd w:val="clear" w:color="auto" w:fill="C5EDFF"/>
      </w:tcPr>
    </w:tblStylePr>
  </w:style>
  <w:style w:type="table" w:styleId="ListTable3-Accent21" w:customStyle="1">
    <w:name w:val="List Table 3 - Accent 21"/>
    <w:basedOn w:val="TableNormal"/>
    <w:next w:val="ListTable3-Accent2"/>
    <w:uiPriority w:val="48"/>
    <w:rsid w:val="003A7E9F"/>
    <w:pPr>
      <w:spacing w:after="0" w:line="240" w:lineRule="auto"/>
    </w:pPr>
    <w:rPr>
      <w:rFonts w:ascii="Calibri" w:hAnsi="Calibri"/>
    </w:rPr>
    <w:tblPr>
      <w:tblStyleRowBandSize w:val="1"/>
      <w:tblStyleColBandSize w:val="1"/>
      <w:tblBorders>
        <w:top w:val="single" w:color="3F9C35" w:sz="4" w:space="0"/>
        <w:left w:val="single" w:color="3F9C35" w:sz="4" w:space="0"/>
        <w:bottom w:val="single" w:color="3F9C35" w:sz="4" w:space="0"/>
        <w:right w:val="single" w:color="3F9C35" w:sz="4" w:space="0"/>
      </w:tblBorders>
    </w:tblPr>
    <w:tblStylePr w:type="firstRow">
      <w:rPr>
        <w:b/>
        <w:bCs/>
        <w:color w:val="FFFFFF"/>
      </w:rPr>
      <w:tblPr/>
      <w:tcPr>
        <w:shd w:val="clear" w:color="auto" w:fill="3F9C35"/>
      </w:tcPr>
    </w:tblStylePr>
    <w:tblStylePr w:type="lastRow">
      <w:rPr>
        <w:b/>
        <w:bCs/>
      </w:rPr>
      <w:tblPr/>
      <w:tcPr>
        <w:tcBorders>
          <w:top w:val="double" w:color="3F9C35"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3F9C35" w:sz="4" w:space="0"/>
          <w:right w:val="single" w:color="3F9C35" w:sz="4" w:space="0"/>
        </w:tcBorders>
      </w:tcPr>
    </w:tblStylePr>
    <w:tblStylePr w:type="band1Horz">
      <w:tblPr/>
      <w:tcPr>
        <w:tcBorders>
          <w:top w:val="single" w:color="3F9C35" w:sz="4" w:space="0"/>
          <w:bottom w:val="single" w:color="3F9C3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F9C35" w:sz="4" w:space="0"/>
          <w:left w:val="nil"/>
        </w:tcBorders>
      </w:tcPr>
    </w:tblStylePr>
    <w:tblStylePr w:type="swCell">
      <w:tblPr/>
      <w:tcPr>
        <w:tcBorders>
          <w:top w:val="double" w:color="3F9C35" w:sz="4" w:space="0"/>
          <w:right w:val="nil"/>
        </w:tcBorders>
      </w:tcPr>
    </w:tblStylePr>
  </w:style>
  <w:style w:type="paragraph" w:styleId="EndnoteText">
    <w:name w:val="endnote text"/>
    <w:basedOn w:val="Normal"/>
    <w:link w:val="EndnoteTextChar"/>
    <w:uiPriority w:val="99"/>
    <w:unhideWhenUsed/>
    <w:rsid w:val="00EE26DE"/>
    <w:pPr>
      <w:spacing w:after="0" w:line="240" w:lineRule="auto"/>
    </w:pPr>
    <w:rPr>
      <w:sz w:val="20"/>
      <w:szCs w:val="20"/>
    </w:rPr>
  </w:style>
  <w:style w:type="character" w:styleId="EndnoteTextChar" w:customStyle="1">
    <w:name w:val="Endnote Text Char"/>
    <w:basedOn w:val="DefaultParagraphFont"/>
    <w:link w:val="EndnoteText"/>
    <w:uiPriority w:val="99"/>
    <w:rsid w:val="00EE26DE"/>
    <w:rPr>
      <w:rFonts w:ascii="Arial" w:hAnsi="Arial"/>
      <w:sz w:val="20"/>
      <w:szCs w:val="20"/>
    </w:rPr>
  </w:style>
  <w:style w:type="character" w:styleId="EndnoteReference">
    <w:name w:val="endnote reference"/>
    <w:basedOn w:val="DefaultParagraphFont"/>
    <w:uiPriority w:val="99"/>
    <w:semiHidden/>
    <w:unhideWhenUsed/>
    <w:rsid w:val="00EE26DE"/>
    <w:rPr>
      <w:vertAlign w:val="superscript"/>
    </w:rPr>
  </w:style>
  <w:style w:type="paragraph" w:styleId="TOC9">
    <w:name w:val="toc 9"/>
    <w:basedOn w:val="Normal"/>
    <w:next w:val="Normal"/>
    <w:autoRedefine/>
    <w:uiPriority w:val="39"/>
    <w:semiHidden/>
    <w:rsid w:val="00750F6F"/>
    <w:pPr>
      <w:spacing w:after="0"/>
      <w:ind w:left="1920"/>
    </w:pPr>
    <w:rPr>
      <w:rFonts w:asciiTheme="minorHAnsi" w:hAnsiTheme="minorHAnsi" w:cstheme="minorHAnsi"/>
      <w:sz w:val="20"/>
      <w:szCs w:val="20"/>
    </w:rPr>
  </w:style>
  <w:style w:type="paragraph" w:styleId="lead" w:customStyle="1">
    <w:name w:val="lead"/>
    <w:basedOn w:val="Normal"/>
    <w:rsid w:val="00310E31"/>
    <w:pPr>
      <w:spacing w:before="100" w:beforeAutospacing="1" w:after="100" w:afterAutospacing="1" w:line="240" w:lineRule="auto"/>
    </w:pPr>
    <w:rPr>
      <w:rFonts w:ascii="Times New Roman" w:hAnsi="Times New Roman" w:eastAsia="Times New Roman" w:cs="Times New Roman"/>
      <w:szCs w:val="24"/>
      <w:lang w:eastAsia="en-GB"/>
    </w:rPr>
  </w:style>
  <w:style w:type="paragraph" w:styleId="NormalWeb">
    <w:name w:val="Normal (Web)"/>
    <w:basedOn w:val="Normal"/>
    <w:uiPriority w:val="99"/>
    <w:unhideWhenUsed/>
    <w:rsid w:val="003D1C0C"/>
    <w:pPr>
      <w:spacing w:before="100" w:beforeAutospacing="1" w:after="100" w:afterAutospacing="1" w:line="240" w:lineRule="auto"/>
    </w:pPr>
    <w:rPr>
      <w:rFonts w:ascii="Times New Roman" w:hAnsi="Times New Roman" w:eastAsia="Times New Roman" w:cs="Times New Roman"/>
      <w:szCs w:val="24"/>
      <w:lang w:eastAsia="en-GB"/>
    </w:rPr>
  </w:style>
  <w:style w:type="paragraph" w:styleId="legclearfix" w:customStyle="1">
    <w:name w:val="legclearfix"/>
    <w:basedOn w:val="Normal"/>
    <w:rsid w:val="00825707"/>
    <w:pPr>
      <w:spacing w:before="100" w:beforeAutospacing="1" w:after="100" w:afterAutospacing="1" w:line="240" w:lineRule="auto"/>
    </w:pPr>
    <w:rPr>
      <w:rFonts w:ascii="Times New Roman" w:hAnsi="Times New Roman" w:eastAsia="Times New Roman" w:cs="Times New Roman"/>
      <w:szCs w:val="24"/>
      <w:lang w:eastAsia="en-GB"/>
    </w:rPr>
  </w:style>
  <w:style w:type="character" w:styleId="legds" w:customStyle="1">
    <w:name w:val="legds"/>
    <w:basedOn w:val="DefaultParagraphFont"/>
    <w:rsid w:val="00825707"/>
  </w:style>
  <w:style w:type="character" w:styleId="legamendingtext" w:customStyle="1">
    <w:name w:val="legamendingtext"/>
    <w:basedOn w:val="DefaultParagraphFont"/>
    <w:rsid w:val="00825707"/>
  </w:style>
  <w:style w:type="paragraph" w:styleId="selectionshareable" w:customStyle="1">
    <w:name w:val="selectionshareable"/>
    <w:basedOn w:val="Normal"/>
    <w:rsid w:val="0076106B"/>
    <w:pPr>
      <w:spacing w:before="100" w:beforeAutospacing="1" w:after="100" w:afterAutospacing="1" w:line="240" w:lineRule="auto"/>
    </w:pPr>
    <w:rPr>
      <w:rFonts w:ascii="Times New Roman" w:hAnsi="Times New Roman" w:eastAsia="Times New Roman" w:cs="Times New Roman"/>
      <w:szCs w:val="24"/>
      <w:lang w:eastAsia="en-GB"/>
    </w:rPr>
  </w:style>
  <w:style w:type="paragraph" w:styleId="last-child" w:customStyle="1">
    <w:name w:val="last-child"/>
    <w:basedOn w:val="Normal"/>
    <w:rsid w:val="0076106B"/>
    <w:pPr>
      <w:spacing w:before="100" w:beforeAutospacing="1" w:after="100" w:afterAutospacing="1" w:line="240" w:lineRule="auto"/>
    </w:pPr>
    <w:rPr>
      <w:rFonts w:ascii="Times New Roman" w:hAnsi="Times New Roman" w:eastAsia="Times New Roman" w:cs="Times New Roman"/>
      <w:szCs w:val="24"/>
      <w:lang w:eastAsia="en-GB"/>
    </w:rPr>
  </w:style>
  <w:style w:type="table" w:styleId="PlainTable1">
    <w:name w:val="Plain Table 1"/>
    <w:basedOn w:val="TableNormal"/>
    <w:uiPriority w:val="41"/>
    <w:rsid w:val="00601221"/>
    <w:pPr>
      <w:spacing w:after="0" w:line="240" w:lineRule="auto"/>
    </w:pPr>
    <w:rPr>
      <w:rFonts w:ascii="Times New Roman" w:hAnsi="Times New Roman"/>
      <w:sz w:val="24"/>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1" w:customStyle="1">
    <w:name w:val="Table Grid1"/>
    <w:basedOn w:val="TableNormal"/>
    <w:next w:val="TableGrid"/>
    <w:uiPriority w:val="59"/>
    <w:rsid w:val="00FE5DBC"/>
    <w:pPr>
      <w:spacing w:after="0" w:line="240" w:lineRule="auto"/>
    </w:pPr>
    <w:rPr>
      <w:color w:val="63666A"/>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ForfasTableGrid112" w:customStyle="1">
    <w:name w:val="Forfas Table Grid112"/>
    <w:basedOn w:val="TableNormal"/>
    <w:next w:val="TableGrid"/>
    <w:uiPriority w:val="39"/>
    <w:rsid w:val="00FE5DBC"/>
    <w:pPr>
      <w:spacing w:after="0" w:line="240" w:lineRule="auto"/>
    </w:pPr>
    <w:rPr>
      <w:rFonts w:ascii="Arial" w:hAnsi="Arial" w:eastAsia="Calibri" w:cs="Times New Roman"/>
      <w:sz w:val="20"/>
      <w:szCs w:val="20"/>
      <w:lang w:eastAsia="en-GB"/>
    </w:rPr>
    <w:tblPr>
      <w:tblStyleRow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tblPr/>
      <w:tcPr>
        <w:shd w:val="clear" w:color="auto" w:fill="009CDE"/>
      </w:tcPr>
    </w:tblStylePr>
    <w:tblStylePr w:type="lastRow">
      <w:rPr>
        <w:color w:val="FFFFFF"/>
      </w:rPr>
      <w:tblPr/>
      <w:tcPr>
        <w:tcBorders>
          <w:top w:val="single" w:color="FFFFFF" w:sz="4" w:space="0"/>
          <w:left w:val="single" w:color="FFFFFF" w:sz="4" w:space="0"/>
          <w:bottom w:val="single" w:color="FFFFFF" w:sz="4" w:space="0"/>
          <w:right w:val="single" w:color="FFFFFF" w:sz="4" w:space="0"/>
          <w:insideH w:val="single" w:color="FFFFFF" w:sz="4" w:space="0"/>
          <w:insideV w:val="single" w:color="FFFFFF" w:sz="4" w:space="0"/>
        </w:tcBorders>
        <w:shd w:val="clear" w:color="auto" w:fill="63666A"/>
      </w:tcPr>
    </w:tblStylePr>
    <w:tblStylePr w:type="band1Horz">
      <w:tblPr/>
      <w:tcPr>
        <w:shd w:val="clear" w:color="auto" w:fill="D9D9D9"/>
      </w:tcPr>
    </w:tblStylePr>
    <w:tblStylePr w:type="band2Horz">
      <w:tblPr/>
      <w:tcPr>
        <w:shd w:val="clear" w:color="auto" w:fill="F2F2F2"/>
      </w:tcPr>
    </w:tblStylePr>
  </w:style>
  <w:style w:type="table" w:styleId="ForfasTableGrid1111" w:customStyle="1">
    <w:name w:val="Forfas Table Grid1111"/>
    <w:basedOn w:val="TableNormal"/>
    <w:next w:val="TableGrid"/>
    <w:uiPriority w:val="39"/>
    <w:rsid w:val="00FE5DBC"/>
    <w:pPr>
      <w:spacing w:after="0" w:line="240" w:lineRule="auto"/>
    </w:pPr>
    <w:rPr>
      <w:rFonts w:ascii="Arial" w:hAnsi="Arial" w:eastAsia="Calibri" w:cs="Times New Roman"/>
      <w:sz w:val="20"/>
      <w:szCs w:val="20"/>
      <w:lang w:eastAsia="en-GB"/>
    </w:rPr>
    <w:tblPr>
      <w:tblStyleRow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tblPr/>
      <w:tcPr>
        <w:shd w:val="clear" w:color="auto" w:fill="009CDE"/>
      </w:tcPr>
    </w:tblStylePr>
    <w:tblStylePr w:type="lastRow">
      <w:rPr>
        <w:color w:val="FFFFFF"/>
      </w:rPr>
      <w:tblPr/>
      <w:tcPr>
        <w:tcBorders>
          <w:top w:val="single" w:color="FFFFFF" w:sz="4" w:space="0"/>
          <w:left w:val="single" w:color="FFFFFF" w:sz="4" w:space="0"/>
          <w:bottom w:val="single" w:color="FFFFFF" w:sz="4" w:space="0"/>
          <w:right w:val="single" w:color="FFFFFF" w:sz="4" w:space="0"/>
          <w:insideH w:val="single" w:color="FFFFFF" w:sz="4" w:space="0"/>
          <w:insideV w:val="single" w:color="FFFFFF" w:sz="4" w:space="0"/>
        </w:tcBorders>
        <w:shd w:val="clear" w:color="auto" w:fill="63666A"/>
      </w:tcPr>
    </w:tblStylePr>
    <w:tblStylePr w:type="band1Horz">
      <w:tblPr/>
      <w:tcPr>
        <w:shd w:val="clear" w:color="auto" w:fill="D9D9D9"/>
      </w:tcPr>
    </w:tblStylePr>
    <w:tblStylePr w:type="band2Horz">
      <w:tblPr/>
      <w:tcPr>
        <w:shd w:val="clear" w:color="auto" w:fill="F2F2F2"/>
      </w:tcPr>
    </w:tblStylePr>
  </w:style>
  <w:style w:type="table" w:styleId="ForfasTableGrid1131" w:customStyle="1">
    <w:name w:val="Forfas Table Grid1131"/>
    <w:basedOn w:val="TableNormal"/>
    <w:next w:val="TableGrid"/>
    <w:uiPriority w:val="39"/>
    <w:rsid w:val="00FE5DBC"/>
    <w:pPr>
      <w:spacing w:after="0" w:line="240" w:lineRule="auto"/>
    </w:pPr>
    <w:rPr>
      <w:rFonts w:ascii="Arial" w:hAnsi="Arial" w:eastAsia="Calibri" w:cs="Times New Roman"/>
      <w:sz w:val="20"/>
      <w:szCs w:val="20"/>
      <w:lang w:eastAsia="en-GB"/>
    </w:rPr>
    <w:tblPr>
      <w:tblStyleRow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tblPr/>
      <w:tcPr>
        <w:shd w:val="clear" w:color="auto" w:fill="009CDE"/>
      </w:tcPr>
    </w:tblStylePr>
    <w:tblStylePr w:type="lastRow">
      <w:rPr>
        <w:color w:val="FFFFFF"/>
      </w:rPr>
      <w:tblPr/>
      <w:tcPr>
        <w:tcBorders>
          <w:top w:val="single" w:color="FFFFFF" w:sz="4" w:space="0"/>
          <w:left w:val="single" w:color="FFFFFF" w:sz="4" w:space="0"/>
          <w:bottom w:val="single" w:color="FFFFFF" w:sz="4" w:space="0"/>
          <w:right w:val="single" w:color="FFFFFF" w:sz="4" w:space="0"/>
          <w:insideH w:val="single" w:color="FFFFFF" w:sz="4" w:space="0"/>
          <w:insideV w:val="single" w:color="FFFFFF" w:sz="4" w:space="0"/>
        </w:tcBorders>
        <w:shd w:val="clear" w:color="auto" w:fill="63666A"/>
      </w:tcPr>
    </w:tblStylePr>
    <w:tblStylePr w:type="band1Horz">
      <w:tblPr/>
      <w:tcPr>
        <w:shd w:val="clear" w:color="auto" w:fill="D9D9D9"/>
      </w:tcPr>
    </w:tblStylePr>
    <w:tblStylePr w:type="band2Horz">
      <w:tblPr/>
      <w:tcPr>
        <w:shd w:val="clear" w:color="auto" w:fill="F2F2F2"/>
      </w:tcPr>
    </w:tblStylePr>
  </w:style>
  <w:style w:type="table" w:styleId="GridTable2">
    <w:name w:val="Grid Table 2"/>
    <w:basedOn w:val="TableNormal"/>
    <w:uiPriority w:val="47"/>
    <w:rsid w:val="00FE5DBC"/>
    <w:pPr>
      <w:spacing w:after="0" w:line="240" w:lineRule="auto"/>
    </w:pPr>
    <w:tblPr>
      <w:tblStyleRowBandSize w:val="1"/>
      <w:tblStyleColBandSize w:val="1"/>
      <w:tblBorders>
        <w:top w:val="single" w:color="A0A3A6" w:themeColor="text1" w:themeTint="99" w:sz="2" w:space="0"/>
        <w:bottom w:val="single" w:color="A0A3A6" w:themeColor="text1" w:themeTint="99" w:sz="2" w:space="0"/>
        <w:insideH w:val="single" w:color="A0A3A6" w:themeColor="text1" w:themeTint="99" w:sz="2" w:space="0"/>
        <w:insideV w:val="single" w:color="A0A3A6" w:themeColor="text1" w:themeTint="99" w:sz="2" w:space="0"/>
      </w:tblBorders>
    </w:tblPr>
    <w:tblStylePr w:type="firstRow">
      <w:rPr>
        <w:b/>
        <w:bCs/>
      </w:rPr>
      <w:tblPr/>
      <w:tcPr>
        <w:tcBorders>
          <w:top w:val="nil"/>
          <w:bottom w:val="single" w:color="A0A3A6" w:themeColor="text1" w:themeTint="99" w:sz="12" w:space="0"/>
          <w:insideH w:val="nil"/>
          <w:insideV w:val="nil"/>
        </w:tcBorders>
        <w:shd w:val="clear" w:color="auto" w:fill="FFFFFF" w:themeFill="background1"/>
      </w:tcPr>
    </w:tblStylePr>
    <w:tblStylePr w:type="lastRow">
      <w:rPr>
        <w:b/>
        <w:bCs/>
      </w:rPr>
      <w:tblPr/>
      <w:tcPr>
        <w:tcBorders>
          <w:top w:val="double" w:color="A0A3A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0E1" w:themeFill="text1" w:themeFillTint="33"/>
      </w:tcPr>
    </w:tblStylePr>
    <w:tblStylePr w:type="band1Horz">
      <w:tblPr/>
      <w:tcPr>
        <w:shd w:val="clear" w:color="auto" w:fill="DFE0E1" w:themeFill="text1" w:themeFillTint="33"/>
      </w:tcPr>
    </w:tblStylePr>
  </w:style>
  <w:style w:type="paragraph" w:styleId="c-bibliographic-informationcitation" w:customStyle="1">
    <w:name w:val="c-bibliographic-information__citation"/>
    <w:basedOn w:val="Normal"/>
    <w:rsid w:val="001273F3"/>
    <w:pPr>
      <w:spacing w:before="100" w:beforeAutospacing="1" w:after="100" w:afterAutospacing="1" w:line="240" w:lineRule="auto"/>
    </w:pPr>
    <w:rPr>
      <w:rFonts w:ascii="Times New Roman" w:hAnsi="Times New Roman" w:eastAsia="Times New Roman" w:cs="Times New Roman"/>
      <w:szCs w:val="24"/>
      <w:lang w:eastAsia="en-GB"/>
    </w:rPr>
  </w:style>
  <w:style w:type="paragraph" w:styleId="c-bibliographic-informationdownload-citation" w:customStyle="1">
    <w:name w:val="c-bibliographic-information__download-citation"/>
    <w:basedOn w:val="Normal"/>
    <w:rsid w:val="001273F3"/>
    <w:pPr>
      <w:spacing w:before="100" w:beforeAutospacing="1" w:after="100" w:afterAutospacing="1" w:line="240" w:lineRule="auto"/>
    </w:pPr>
    <w:rPr>
      <w:rFonts w:ascii="Times New Roman" w:hAnsi="Times New Roman" w:eastAsia="Times New Roman" w:cs="Times New Roman"/>
      <w:szCs w:val="24"/>
      <w:lang w:eastAsia="en-GB"/>
    </w:rPr>
  </w:style>
  <w:style w:type="character" w:styleId="author" w:customStyle="1">
    <w:name w:val="author"/>
    <w:basedOn w:val="DefaultParagraphFont"/>
    <w:rsid w:val="001273F3"/>
  </w:style>
  <w:style w:type="character" w:styleId="articletitle" w:customStyle="1">
    <w:name w:val="articletitle"/>
    <w:basedOn w:val="DefaultParagraphFont"/>
    <w:rsid w:val="001273F3"/>
  </w:style>
  <w:style w:type="character" w:styleId="pubyear" w:customStyle="1">
    <w:name w:val="pubyear"/>
    <w:basedOn w:val="DefaultParagraphFont"/>
    <w:rsid w:val="001273F3"/>
  </w:style>
  <w:style w:type="character" w:styleId="vol" w:customStyle="1">
    <w:name w:val="vol"/>
    <w:basedOn w:val="DefaultParagraphFont"/>
    <w:rsid w:val="001273F3"/>
  </w:style>
  <w:style w:type="character" w:styleId="pagefirst" w:customStyle="1">
    <w:name w:val="pagefirst"/>
    <w:basedOn w:val="DefaultParagraphFont"/>
    <w:rsid w:val="001273F3"/>
  </w:style>
  <w:style w:type="character" w:styleId="pagelast" w:customStyle="1">
    <w:name w:val="pagelast"/>
    <w:basedOn w:val="DefaultParagraphFont"/>
    <w:rsid w:val="001273F3"/>
  </w:style>
  <w:style w:type="character" w:styleId="authors" w:customStyle="1">
    <w:name w:val="authors"/>
    <w:basedOn w:val="DefaultParagraphFont"/>
    <w:rsid w:val="001273F3"/>
  </w:style>
  <w:style w:type="character" w:styleId="Date1" w:customStyle="1">
    <w:name w:val="Date1"/>
    <w:basedOn w:val="DefaultParagraphFont"/>
    <w:rsid w:val="001273F3"/>
  </w:style>
  <w:style w:type="character" w:styleId="arttitle" w:customStyle="1">
    <w:name w:val="art_title"/>
    <w:basedOn w:val="DefaultParagraphFont"/>
    <w:rsid w:val="001273F3"/>
  </w:style>
  <w:style w:type="character" w:styleId="serialtitle" w:customStyle="1">
    <w:name w:val="serial_title"/>
    <w:basedOn w:val="DefaultParagraphFont"/>
    <w:rsid w:val="001273F3"/>
  </w:style>
  <w:style w:type="character" w:styleId="volumeissue" w:customStyle="1">
    <w:name w:val="volume_issue"/>
    <w:basedOn w:val="DefaultParagraphFont"/>
    <w:rsid w:val="001273F3"/>
  </w:style>
  <w:style w:type="character" w:styleId="pagerange" w:customStyle="1">
    <w:name w:val="page_range"/>
    <w:basedOn w:val="DefaultParagraphFont"/>
    <w:rsid w:val="001273F3"/>
  </w:style>
  <w:style w:type="character" w:styleId="doilink" w:customStyle="1">
    <w:name w:val="doi_link"/>
    <w:basedOn w:val="DefaultParagraphFont"/>
    <w:rsid w:val="001273F3"/>
  </w:style>
  <w:style w:type="character" w:styleId="highwire-citation-authors" w:customStyle="1">
    <w:name w:val="highwire-citation-authors"/>
    <w:basedOn w:val="DefaultParagraphFont"/>
    <w:rsid w:val="009D4D86"/>
  </w:style>
  <w:style w:type="character" w:styleId="highwire-citation-author" w:customStyle="1">
    <w:name w:val="highwire-citation-author"/>
    <w:basedOn w:val="DefaultParagraphFont"/>
    <w:rsid w:val="009D4D86"/>
  </w:style>
  <w:style w:type="character" w:styleId="nlm-surname" w:customStyle="1">
    <w:name w:val="nlm-surname"/>
    <w:basedOn w:val="DefaultParagraphFont"/>
    <w:rsid w:val="009D4D86"/>
  </w:style>
  <w:style w:type="character" w:styleId="highwire-cite-metadata-journal" w:customStyle="1">
    <w:name w:val="highwire-cite-metadata-journal"/>
    <w:basedOn w:val="DefaultParagraphFont"/>
    <w:rsid w:val="009D4D86"/>
  </w:style>
  <w:style w:type="character" w:styleId="highwire-cite-metadata-year" w:customStyle="1">
    <w:name w:val="highwire-cite-metadata-year"/>
    <w:basedOn w:val="DefaultParagraphFont"/>
    <w:rsid w:val="009D4D86"/>
  </w:style>
  <w:style w:type="character" w:styleId="highwire-cite-metadata-volume" w:customStyle="1">
    <w:name w:val="highwire-cite-metadata-volume"/>
    <w:basedOn w:val="DefaultParagraphFont"/>
    <w:rsid w:val="009D4D86"/>
  </w:style>
  <w:style w:type="character" w:styleId="highwire-cite-metadata-elocation-id" w:customStyle="1">
    <w:name w:val="highwire-cite-metadata-elocation-id"/>
    <w:basedOn w:val="DefaultParagraphFont"/>
    <w:rsid w:val="009D4D86"/>
  </w:style>
  <w:style w:type="character" w:styleId="highwire-cite-metadata-doi" w:customStyle="1">
    <w:name w:val="highwire-cite-metadata-doi"/>
    <w:basedOn w:val="DefaultParagraphFont"/>
    <w:rsid w:val="009D4D86"/>
  </w:style>
  <w:style w:type="character" w:styleId="label" w:customStyle="1">
    <w:name w:val="label"/>
    <w:basedOn w:val="DefaultParagraphFont"/>
    <w:rsid w:val="009D4D86"/>
  </w:style>
  <w:style w:type="character" w:styleId="cf01" w:customStyle="1">
    <w:name w:val="cf01"/>
    <w:basedOn w:val="DefaultParagraphFont"/>
    <w:rsid w:val="00306926"/>
    <w:rPr>
      <w:rFonts w:hint="default" w:ascii="Segoe UI" w:hAnsi="Segoe UI" w:cs="Segoe UI"/>
      <w:sz w:val="18"/>
      <w:szCs w:val="18"/>
    </w:rPr>
  </w:style>
  <w:style w:type="paragraph" w:styleId="pf0" w:customStyle="1">
    <w:name w:val="pf0"/>
    <w:basedOn w:val="Normal"/>
    <w:rsid w:val="00DA1BB9"/>
    <w:pPr>
      <w:spacing w:before="100" w:beforeAutospacing="1" w:after="100" w:afterAutospacing="1" w:line="240" w:lineRule="auto"/>
    </w:pPr>
    <w:rPr>
      <w:rFonts w:ascii="Times New Roman" w:hAnsi="Times New Roman" w:eastAsia="Times New Roman" w:cs="Times New Roman"/>
      <w:szCs w:val="24"/>
      <w:lang w:eastAsia="en-GB"/>
    </w:rPr>
  </w:style>
  <w:style w:type="character" w:styleId="PlaceholderText">
    <w:name w:val="Placeholder Text"/>
    <w:basedOn w:val="DefaultParagraphFont"/>
    <w:uiPriority w:val="99"/>
    <w:semiHidden/>
    <w:rsid w:val="008903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5704">
      <w:bodyDiv w:val="1"/>
      <w:marLeft w:val="0"/>
      <w:marRight w:val="0"/>
      <w:marTop w:val="0"/>
      <w:marBottom w:val="0"/>
      <w:divBdr>
        <w:top w:val="none" w:sz="0" w:space="0" w:color="auto"/>
        <w:left w:val="none" w:sz="0" w:space="0" w:color="auto"/>
        <w:bottom w:val="none" w:sz="0" w:space="0" w:color="auto"/>
        <w:right w:val="none" w:sz="0" w:space="0" w:color="auto"/>
      </w:divBdr>
    </w:div>
    <w:div w:id="58090602">
      <w:bodyDiv w:val="1"/>
      <w:marLeft w:val="0"/>
      <w:marRight w:val="0"/>
      <w:marTop w:val="0"/>
      <w:marBottom w:val="0"/>
      <w:divBdr>
        <w:top w:val="none" w:sz="0" w:space="0" w:color="auto"/>
        <w:left w:val="none" w:sz="0" w:space="0" w:color="auto"/>
        <w:bottom w:val="none" w:sz="0" w:space="0" w:color="auto"/>
        <w:right w:val="none" w:sz="0" w:space="0" w:color="auto"/>
      </w:divBdr>
    </w:div>
    <w:div w:id="77215498">
      <w:bodyDiv w:val="1"/>
      <w:marLeft w:val="0"/>
      <w:marRight w:val="0"/>
      <w:marTop w:val="0"/>
      <w:marBottom w:val="0"/>
      <w:divBdr>
        <w:top w:val="none" w:sz="0" w:space="0" w:color="auto"/>
        <w:left w:val="none" w:sz="0" w:space="0" w:color="auto"/>
        <w:bottom w:val="none" w:sz="0" w:space="0" w:color="auto"/>
        <w:right w:val="none" w:sz="0" w:space="0" w:color="auto"/>
      </w:divBdr>
    </w:div>
    <w:div w:id="83653629">
      <w:bodyDiv w:val="1"/>
      <w:marLeft w:val="0"/>
      <w:marRight w:val="0"/>
      <w:marTop w:val="0"/>
      <w:marBottom w:val="0"/>
      <w:divBdr>
        <w:top w:val="none" w:sz="0" w:space="0" w:color="auto"/>
        <w:left w:val="none" w:sz="0" w:space="0" w:color="auto"/>
        <w:bottom w:val="none" w:sz="0" w:space="0" w:color="auto"/>
        <w:right w:val="none" w:sz="0" w:space="0" w:color="auto"/>
      </w:divBdr>
      <w:divsChild>
        <w:div w:id="372853585">
          <w:marLeft w:val="0"/>
          <w:marRight w:val="0"/>
          <w:marTop w:val="0"/>
          <w:marBottom w:val="0"/>
          <w:divBdr>
            <w:top w:val="none" w:sz="0" w:space="0" w:color="auto"/>
            <w:left w:val="none" w:sz="0" w:space="0" w:color="auto"/>
            <w:bottom w:val="none" w:sz="0" w:space="0" w:color="auto"/>
            <w:right w:val="none" w:sz="0" w:space="0" w:color="auto"/>
          </w:divBdr>
        </w:div>
      </w:divsChild>
    </w:div>
    <w:div w:id="84494276">
      <w:bodyDiv w:val="1"/>
      <w:marLeft w:val="0"/>
      <w:marRight w:val="0"/>
      <w:marTop w:val="0"/>
      <w:marBottom w:val="0"/>
      <w:divBdr>
        <w:top w:val="none" w:sz="0" w:space="0" w:color="auto"/>
        <w:left w:val="none" w:sz="0" w:space="0" w:color="auto"/>
        <w:bottom w:val="none" w:sz="0" w:space="0" w:color="auto"/>
        <w:right w:val="none" w:sz="0" w:space="0" w:color="auto"/>
      </w:divBdr>
      <w:divsChild>
        <w:div w:id="157380318">
          <w:marLeft w:val="446"/>
          <w:marRight w:val="0"/>
          <w:marTop w:val="0"/>
          <w:marBottom w:val="120"/>
          <w:divBdr>
            <w:top w:val="none" w:sz="0" w:space="0" w:color="auto"/>
            <w:left w:val="none" w:sz="0" w:space="0" w:color="auto"/>
            <w:bottom w:val="none" w:sz="0" w:space="0" w:color="auto"/>
            <w:right w:val="none" w:sz="0" w:space="0" w:color="auto"/>
          </w:divBdr>
        </w:div>
        <w:div w:id="953441453">
          <w:marLeft w:val="446"/>
          <w:marRight w:val="0"/>
          <w:marTop w:val="0"/>
          <w:marBottom w:val="120"/>
          <w:divBdr>
            <w:top w:val="none" w:sz="0" w:space="0" w:color="auto"/>
            <w:left w:val="none" w:sz="0" w:space="0" w:color="auto"/>
            <w:bottom w:val="none" w:sz="0" w:space="0" w:color="auto"/>
            <w:right w:val="none" w:sz="0" w:space="0" w:color="auto"/>
          </w:divBdr>
        </w:div>
        <w:div w:id="1001004545">
          <w:marLeft w:val="446"/>
          <w:marRight w:val="0"/>
          <w:marTop w:val="0"/>
          <w:marBottom w:val="120"/>
          <w:divBdr>
            <w:top w:val="none" w:sz="0" w:space="0" w:color="auto"/>
            <w:left w:val="none" w:sz="0" w:space="0" w:color="auto"/>
            <w:bottom w:val="none" w:sz="0" w:space="0" w:color="auto"/>
            <w:right w:val="none" w:sz="0" w:space="0" w:color="auto"/>
          </w:divBdr>
        </w:div>
        <w:div w:id="1220634402">
          <w:marLeft w:val="446"/>
          <w:marRight w:val="0"/>
          <w:marTop w:val="0"/>
          <w:marBottom w:val="120"/>
          <w:divBdr>
            <w:top w:val="none" w:sz="0" w:space="0" w:color="auto"/>
            <w:left w:val="none" w:sz="0" w:space="0" w:color="auto"/>
            <w:bottom w:val="none" w:sz="0" w:space="0" w:color="auto"/>
            <w:right w:val="none" w:sz="0" w:space="0" w:color="auto"/>
          </w:divBdr>
        </w:div>
      </w:divsChild>
    </w:div>
    <w:div w:id="153422459">
      <w:bodyDiv w:val="1"/>
      <w:marLeft w:val="0"/>
      <w:marRight w:val="0"/>
      <w:marTop w:val="0"/>
      <w:marBottom w:val="0"/>
      <w:divBdr>
        <w:top w:val="none" w:sz="0" w:space="0" w:color="auto"/>
        <w:left w:val="none" w:sz="0" w:space="0" w:color="auto"/>
        <w:bottom w:val="none" w:sz="0" w:space="0" w:color="auto"/>
        <w:right w:val="none" w:sz="0" w:space="0" w:color="auto"/>
      </w:divBdr>
      <w:divsChild>
        <w:div w:id="1546520603">
          <w:marLeft w:val="0"/>
          <w:marRight w:val="0"/>
          <w:marTop w:val="0"/>
          <w:marBottom w:val="0"/>
          <w:divBdr>
            <w:top w:val="none" w:sz="0" w:space="0" w:color="auto"/>
            <w:left w:val="none" w:sz="0" w:space="0" w:color="auto"/>
            <w:bottom w:val="none" w:sz="0" w:space="0" w:color="auto"/>
            <w:right w:val="none" w:sz="0" w:space="0" w:color="auto"/>
          </w:divBdr>
        </w:div>
        <w:div w:id="1741827728">
          <w:marLeft w:val="0"/>
          <w:marRight w:val="0"/>
          <w:marTop w:val="0"/>
          <w:marBottom w:val="0"/>
          <w:divBdr>
            <w:top w:val="none" w:sz="0" w:space="0" w:color="auto"/>
            <w:left w:val="none" w:sz="0" w:space="0" w:color="auto"/>
            <w:bottom w:val="none" w:sz="0" w:space="0" w:color="auto"/>
            <w:right w:val="none" w:sz="0" w:space="0" w:color="auto"/>
          </w:divBdr>
        </w:div>
        <w:div w:id="2012296369">
          <w:marLeft w:val="0"/>
          <w:marRight w:val="0"/>
          <w:marTop w:val="0"/>
          <w:marBottom w:val="0"/>
          <w:divBdr>
            <w:top w:val="none" w:sz="0" w:space="0" w:color="auto"/>
            <w:left w:val="none" w:sz="0" w:space="0" w:color="auto"/>
            <w:bottom w:val="none" w:sz="0" w:space="0" w:color="auto"/>
            <w:right w:val="none" w:sz="0" w:space="0" w:color="auto"/>
          </w:divBdr>
        </w:div>
      </w:divsChild>
    </w:div>
    <w:div w:id="185827117">
      <w:bodyDiv w:val="1"/>
      <w:marLeft w:val="0"/>
      <w:marRight w:val="0"/>
      <w:marTop w:val="0"/>
      <w:marBottom w:val="0"/>
      <w:divBdr>
        <w:top w:val="none" w:sz="0" w:space="0" w:color="auto"/>
        <w:left w:val="none" w:sz="0" w:space="0" w:color="auto"/>
        <w:bottom w:val="none" w:sz="0" w:space="0" w:color="auto"/>
        <w:right w:val="none" w:sz="0" w:space="0" w:color="auto"/>
      </w:divBdr>
    </w:div>
    <w:div w:id="273904211">
      <w:bodyDiv w:val="1"/>
      <w:marLeft w:val="0"/>
      <w:marRight w:val="0"/>
      <w:marTop w:val="0"/>
      <w:marBottom w:val="0"/>
      <w:divBdr>
        <w:top w:val="none" w:sz="0" w:space="0" w:color="auto"/>
        <w:left w:val="none" w:sz="0" w:space="0" w:color="auto"/>
        <w:bottom w:val="none" w:sz="0" w:space="0" w:color="auto"/>
        <w:right w:val="none" w:sz="0" w:space="0" w:color="auto"/>
      </w:divBdr>
    </w:div>
    <w:div w:id="279992777">
      <w:bodyDiv w:val="1"/>
      <w:marLeft w:val="0"/>
      <w:marRight w:val="0"/>
      <w:marTop w:val="0"/>
      <w:marBottom w:val="0"/>
      <w:divBdr>
        <w:top w:val="none" w:sz="0" w:space="0" w:color="auto"/>
        <w:left w:val="none" w:sz="0" w:space="0" w:color="auto"/>
        <w:bottom w:val="none" w:sz="0" w:space="0" w:color="auto"/>
        <w:right w:val="none" w:sz="0" w:space="0" w:color="auto"/>
      </w:divBdr>
    </w:div>
    <w:div w:id="299581511">
      <w:bodyDiv w:val="1"/>
      <w:marLeft w:val="0"/>
      <w:marRight w:val="0"/>
      <w:marTop w:val="0"/>
      <w:marBottom w:val="0"/>
      <w:divBdr>
        <w:top w:val="none" w:sz="0" w:space="0" w:color="auto"/>
        <w:left w:val="none" w:sz="0" w:space="0" w:color="auto"/>
        <w:bottom w:val="none" w:sz="0" w:space="0" w:color="auto"/>
        <w:right w:val="none" w:sz="0" w:space="0" w:color="auto"/>
      </w:divBdr>
    </w:div>
    <w:div w:id="347567807">
      <w:bodyDiv w:val="1"/>
      <w:marLeft w:val="0"/>
      <w:marRight w:val="0"/>
      <w:marTop w:val="0"/>
      <w:marBottom w:val="0"/>
      <w:divBdr>
        <w:top w:val="none" w:sz="0" w:space="0" w:color="auto"/>
        <w:left w:val="none" w:sz="0" w:space="0" w:color="auto"/>
        <w:bottom w:val="none" w:sz="0" w:space="0" w:color="auto"/>
        <w:right w:val="none" w:sz="0" w:space="0" w:color="auto"/>
      </w:divBdr>
    </w:div>
    <w:div w:id="355617278">
      <w:bodyDiv w:val="1"/>
      <w:marLeft w:val="0"/>
      <w:marRight w:val="0"/>
      <w:marTop w:val="0"/>
      <w:marBottom w:val="0"/>
      <w:divBdr>
        <w:top w:val="none" w:sz="0" w:space="0" w:color="auto"/>
        <w:left w:val="none" w:sz="0" w:space="0" w:color="auto"/>
        <w:bottom w:val="none" w:sz="0" w:space="0" w:color="auto"/>
        <w:right w:val="none" w:sz="0" w:space="0" w:color="auto"/>
      </w:divBdr>
    </w:div>
    <w:div w:id="401366968">
      <w:bodyDiv w:val="1"/>
      <w:marLeft w:val="0"/>
      <w:marRight w:val="0"/>
      <w:marTop w:val="0"/>
      <w:marBottom w:val="0"/>
      <w:divBdr>
        <w:top w:val="none" w:sz="0" w:space="0" w:color="auto"/>
        <w:left w:val="none" w:sz="0" w:space="0" w:color="auto"/>
        <w:bottom w:val="none" w:sz="0" w:space="0" w:color="auto"/>
        <w:right w:val="none" w:sz="0" w:space="0" w:color="auto"/>
      </w:divBdr>
    </w:div>
    <w:div w:id="425076843">
      <w:bodyDiv w:val="1"/>
      <w:marLeft w:val="0"/>
      <w:marRight w:val="0"/>
      <w:marTop w:val="0"/>
      <w:marBottom w:val="0"/>
      <w:divBdr>
        <w:top w:val="none" w:sz="0" w:space="0" w:color="auto"/>
        <w:left w:val="none" w:sz="0" w:space="0" w:color="auto"/>
        <w:bottom w:val="none" w:sz="0" w:space="0" w:color="auto"/>
        <w:right w:val="none" w:sz="0" w:space="0" w:color="auto"/>
      </w:divBdr>
    </w:div>
    <w:div w:id="500051596">
      <w:bodyDiv w:val="1"/>
      <w:marLeft w:val="0"/>
      <w:marRight w:val="0"/>
      <w:marTop w:val="0"/>
      <w:marBottom w:val="0"/>
      <w:divBdr>
        <w:top w:val="none" w:sz="0" w:space="0" w:color="auto"/>
        <w:left w:val="none" w:sz="0" w:space="0" w:color="auto"/>
        <w:bottom w:val="none" w:sz="0" w:space="0" w:color="auto"/>
        <w:right w:val="none" w:sz="0" w:space="0" w:color="auto"/>
      </w:divBdr>
      <w:divsChild>
        <w:div w:id="1898395683">
          <w:marLeft w:val="86"/>
          <w:marRight w:val="0"/>
          <w:marTop w:val="0"/>
          <w:marBottom w:val="120"/>
          <w:divBdr>
            <w:top w:val="none" w:sz="0" w:space="0" w:color="auto"/>
            <w:left w:val="none" w:sz="0" w:space="0" w:color="auto"/>
            <w:bottom w:val="none" w:sz="0" w:space="0" w:color="auto"/>
            <w:right w:val="none" w:sz="0" w:space="0" w:color="auto"/>
          </w:divBdr>
        </w:div>
        <w:div w:id="1980374819">
          <w:marLeft w:val="86"/>
          <w:marRight w:val="0"/>
          <w:marTop w:val="0"/>
          <w:marBottom w:val="120"/>
          <w:divBdr>
            <w:top w:val="none" w:sz="0" w:space="0" w:color="auto"/>
            <w:left w:val="none" w:sz="0" w:space="0" w:color="auto"/>
            <w:bottom w:val="none" w:sz="0" w:space="0" w:color="auto"/>
            <w:right w:val="none" w:sz="0" w:space="0" w:color="auto"/>
          </w:divBdr>
        </w:div>
      </w:divsChild>
    </w:div>
    <w:div w:id="508912097">
      <w:bodyDiv w:val="1"/>
      <w:marLeft w:val="0"/>
      <w:marRight w:val="0"/>
      <w:marTop w:val="0"/>
      <w:marBottom w:val="0"/>
      <w:divBdr>
        <w:top w:val="none" w:sz="0" w:space="0" w:color="auto"/>
        <w:left w:val="none" w:sz="0" w:space="0" w:color="auto"/>
        <w:bottom w:val="none" w:sz="0" w:space="0" w:color="auto"/>
        <w:right w:val="none" w:sz="0" w:space="0" w:color="auto"/>
      </w:divBdr>
      <w:divsChild>
        <w:div w:id="301692143">
          <w:marLeft w:val="446"/>
          <w:marRight w:val="0"/>
          <w:marTop w:val="0"/>
          <w:marBottom w:val="160"/>
          <w:divBdr>
            <w:top w:val="none" w:sz="0" w:space="0" w:color="auto"/>
            <w:left w:val="none" w:sz="0" w:space="0" w:color="auto"/>
            <w:bottom w:val="none" w:sz="0" w:space="0" w:color="auto"/>
            <w:right w:val="none" w:sz="0" w:space="0" w:color="auto"/>
          </w:divBdr>
        </w:div>
        <w:div w:id="425731662">
          <w:marLeft w:val="446"/>
          <w:marRight w:val="0"/>
          <w:marTop w:val="0"/>
          <w:marBottom w:val="160"/>
          <w:divBdr>
            <w:top w:val="none" w:sz="0" w:space="0" w:color="auto"/>
            <w:left w:val="none" w:sz="0" w:space="0" w:color="auto"/>
            <w:bottom w:val="none" w:sz="0" w:space="0" w:color="auto"/>
            <w:right w:val="none" w:sz="0" w:space="0" w:color="auto"/>
          </w:divBdr>
        </w:div>
        <w:div w:id="1790051850">
          <w:marLeft w:val="446"/>
          <w:marRight w:val="0"/>
          <w:marTop w:val="0"/>
          <w:marBottom w:val="160"/>
          <w:divBdr>
            <w:top w:val="none" w:sz="0" w:space="0" w:color="auto"/>
            <w:left w:val="none" w:sz="0" w:space="0" w:color="auto"/>
            <w:bottom w:val="none" w:sz="0" w:space="0" w:color="auto"/>
            <w:right w:val="none" w:sz="0" w:space="0" w:color="auto"/>
          </w:divBdr>
        </w:div>
        <w:div w:id="2139685161">
          <w:marLeft w:val="446"/>
          <w:marRight w:val="0"/>
          <w:marTop w:val="0"/>
          <w:marBottom w:val="160"/>
          <w:divBdr>
            <w:top w:val="none" w:sz="0" w:space="0" w:color="auto"/>
            <w:left w:val="none" w:sz="0" w:space="0" w:color="auto"/>
            <w:bottom w:val="none" w:sz="0" w:space="0" w:color="auto"/>
            <w:right w:val="none" w:sz="0" w:space="0" w:color="auto"/>
          </w:divBdr>
        </w:div>
      </w:divsChild>
    </w:div>
    <w:div w:id="554702457">
      <w:bodyDiv w:val="1"/>
      <w:marLeft w:val="0"/>
      <w:marRight w:val="0"/>
      <w:marTop w:val="0"/>
      <w:marBottom w:val="0"/>
      <w:divBdr>
        <w:top w:val="none" w:sz="0" w:space="0" w:color="auto"/>
        <w:left w:val="none" w:sz="0" w:space="0" w:color="auto"/>
        <w:bottom w:val="none" w:sz="0" w:space="0" w:color="auto"/>
        <w:right w:val="none" w:sz="0" w:space="0" w:color="auto"/>
      </w:divBdr>
      <w:divsChild>
        <w:div w:id="1025911241">
          <w:marLeft w:val="86"/>
          <w:marRight w:val="0"/>
          <w:marTop w:val="0"/>
          <w:marBottom w:val="120"/>
          <w:divBdr>
            <w:top w:val="none" w:sz="0" w:space="0" w:color="auto"/>
            <w:left w:val="none" w:sz="0" w:space="0" w:color="auto"/>
            <w:bottom w:val="none" w:sz="0" w:space="0" w:color="auto"/>
            <w:right w:val="none" w:sz="0" w:space="0" w:color="auto"/>
          </w:divBdr>
        </w:div>
        <w:div w:id="1996952409">
          <w:marLeft w:val="86"/>
          <w:marRight w:val="0"/>
          <w:marTop w:val="0"/>
          <w:marBottom w:val="120"/>
          <w:divBdr>
            <w:top w:val="none" w:sz="0" w:space="0" w:color="auto"/>
            <w:left w:val="none" w:sz="0" w:space="0" w:color="auto"/>
            <w:bottom w:val="none" w:sz="0" w:space="0" w:color="auto"/>
            <w:right w:val="none" w:sz="0" w:space="0" w:color="auto"/>
          </w:divBdr>
        </w:div>
      </w:divsChild>
    </w:div>
    <w:div w:id="555245511">
      <w:bodyDiv w:val="1"/>
      <w:marLeft w:val="0"/>
      <w:marRight w:val="0"/>
      <w:marTop w:val="0"/>
      <w:marBottom w:val="0"/>
      <w:divBdr>
        <w:top w:val="none" w:sz="0" w:space="0" w:color="auto"/>
        <w:left w:val="none" w:sz="0" w:space="0" w:color="auto"/>
        <w:bottom w:val="none" w:sz="0" w:space="0" w:color="auto"/>
        <w:right w:val="none" w:sz="0" w:space="0" w:color="auto"/>
      </w:divBdr>
    </w:div>
    <w:div w:id="571039787">
      <w:bodyDiv w:val="1"/>
      <w:marLeft w:val="0"/>
      <w:marRight w:val="0"/>
      <w:marTop w:val="0"/>
      <w:marBottom w:val="0"/>
      <w:divBdr>
        <w:top w:val="none" w:sz="0" w:space="0" w:color="auto"/>
        <w:left w:val="none" w:sz="0" w:space="0" w:color="auto"/>
        <w:bottom w:val="none" w:sz="0" w:space="0" w:color="auto"/>
        <w:right w:val="none" w:sz="0" w:space="0" w:color="auto"/>
      </w:divBdr>
    </w:div>
    <w:div w:id="601835823">
      <w:bodyDiv w:val="1"/>
      <w:marLeft w:val="0"/>
      <w:marRight w:val="0"/>
      <w:marTop w:val="0"/>
      <w:marBottom w:val="0"/>
      <w:divBdr>
        <w:top w:val="none" w:sz="0" w:space="0" w:color="auto"/>
        <w:left w:val="none" w:sz="0" w:space="0" w:color="auto"/>
        <w:bottom w:val="none" w:sz="0" w:space="0" w:color="auto"/>
        <w:right w:val="none" w:sz="0" w:space="0" w:color="auto"/>
      </w:divBdr>
    </w:div>
    <w:div w:id="620184224">
      <w:bodyDiv w:val="1"/>
      <w:marLeft w:val="0"/>
      <w:marRight w:val="0"/>
      <w:marTop w:val="0"/>
      <w:marBottom w:val="0"/>
      <w:divBdr>
        <w:top w:val="none" w:sz="0" w:space="0" w:color="auto"/>
        <w:left w:val="none" w:sz="0" w:space="0" w:color="auto"/>
        <w:bottom w:val="none" w:sz="0" w:space="0" w:color="auto"/>
        <w:right w:val="none" w:sz="0" w:space="0" w:color="auto"/>
      </w:divBdr>
    </w:div>
    <w:div w:id="632638291">
      <w:bodyDiv w:val="1"/>
      <w:marLeft w:val="0"/>
      <w:marRight w:val="0"/>
      <w:marTop w:val="0"/>
      <w:marBottom w:val="0"/>
      <w:divBdr>
        <w:top w:val="none" w:sz="0" w:space="0" w:color="auto"/>
        <w:left w:val="none" w:sz="0" w:space="0" w:color="auto"/>
        <w:bottom w:val="none" w:sz="0" w:space="0" w:color="auto"/>
        <w:right w:val="none" w:sz="0" w:space="0" w:color="auto"/>
      </w:divBdr>
    </w:div>
    <w:div w:id="636492528">
      <w:bodyDiv w:val="1"/>
      <w:marLeft w:val="0"/>
      <w:marRight w:val="0"/>
      <w:marTop w:val="0"/>
      <w:marBottom w:val="0"/>
      <w:divBdr>
        <w:top w:val="none" w:sz="0" w:space="0" w:color="auto"/>
        <w:left w:val="none" w:sz="0" w:space="0" w:color="auto"/>
        <w:bottom w:val="none" w:sz="0" w:space="0" w:color="auto"/>
        <w:right w:val="none" w:sz="0" w:space="0" w:color="auto"/>
      </w:divBdr>
    </w:div>
    <w:div w:id="639925320">
      <w:bodyDiv w:val="1"/>
      <w:marLeft w:val="0"/>
      <w:marRight w:val="0"/>
      <w:marTop w:val="0"/>
      <w:marBottom w:val="0"/>
      <w:divBdr>
        <w:top w:val="none" w:sz="0" w:space="0" w:color="auto"/>
        <w:left w:val="none" w:sz="0" w:space="0" w:color="auto"/>
        <w:bottom w:val="none" w:sz="0" w:space="0" w:color="auto"/>
        <w:right w:val="none" w:sz="0" w:space="0" w:color="auto"/>
      </w:divBdr>
    </w:div>
    <w:div w:id="769786027">
      <w:bodyDiv w:val="1"/>
      <w:marLeft w:val="0"/>
      <w:marRight w:val="0"/>
      <w:marTop w:val="0"/>
      <w:marBottom w:val="0"/>
      <w:divBdr>
        <w:top w:val="none" w:sz="0" w:space="0" w:color="auto"/>
        <w:left w:val="none" w:sz="0" w:space="0" w:color="auto"/>
        <w:bottom w:val="none" w:sz="0" w:space="0" w:color="auto"/>
        <w:right w:val="none" w:sz="0" w:space="0" w:color="auto"/>
      </w:divBdr>
    </w:div>
    <w:div w:id="799107379">
      <w:bodyDiv w:val="1"/>
      <w:marLeft w:val="0"/>
      <w:marRight w:val="0"/>
      <w:marTop w:val="0"/>
      <w:marBottom w:val="0"/>
      <w:divBdr>
        <w:top w:val="none" w:sz="0" w:space="0" w:color="auto"/>
        <w:left w:val="none" w:sz="0" w:space="0" w:color="auto"/>
        <w:bottom w:val="none" w:sz="0" w:space="0" w:color="auto"/>
        <w:right w:val="none" w:sz="0" w:space="0" w:color="auto"/>
      </w:divBdr>
      <w:divsChild>
        <w:div w:id="99955190">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839388257">
      <w:bodyDiv w:val="1"/>
      <w:marLeft w:val="0"/>
      <w:marRight w:val="0"/>
      <w:marTop w:val="0"/>
      <w:marBottom w:val="0"/>
      <w:divBdr>
        <w:top w:val="none" w:sz="0" w:space="0" w:color="auto"/>
        <w:left w:val="none" w:sz="0" w:space="0" w:color="auto"/>
        <w:bottom w:val="none" w:sz="0" w:space="0" w:color="auto"/>
        <w:right w:val="none" w:sz="0" w:space="0" w:color="auto"/>
      </w:divBdr>
    </w:div>
    <w:div w:id="853232445">
      <w:bodyDiv w:val="1"/>
      <w:marLeft w:val="0"/>
      <w:marRight w:val="0"/>
      <w:marTop w:val="0"/>
      <w:marBottom w:val="0"/>
      <w:divBdr>
        <w:top w:val="none" w:sz="0" w:space="0" w:color="auto"/>
        <w:left w:val="none" w:sz="0" w:space="0" w:color="auto"/>
        <w:bottom w:val="none" w:sz="0" w:space="0" w:color="auto"/>
        <w:right w:val="none" w:sz="0" w:space="0" w:color="auto"/>
      </w:divBdr>
    </w:div>
    <w:div w:id="905341245">
      <w:bodyDiv w:val="1"/>
      <w:marLeft w:val="0"/>
      <w:marRight w:val="0"/>
      <w:marTop w:val="0"/>
      <w:marBottom w:val="0"/>
      <w:divBdr>
        <w:top w:val="none" w:sz="0" w:space="0" w:color="auto"/>
        <w:left w:val="none" w:sz="0" w:space="0" w:color="auto"/>
        <w:bottom w:val="none" w:sz="0" w:space="0" w:color="auto"/>
        <w:right w:val="none" w:sz="0" w:space="0" w:color="auto"/>
      </w:divBdr>
    </w:div>
    <w:div w:id="940263070">
      <w:bodyDiv w:val="1"/>
      <w:marLeft w:val="0"/>
      <w:marRight w:val="0"/>
      <w:marTop w:val="0"/>
      <w:marBottom w:val="0"/>
      <w:divBdr>
        <w:top w:val="none" w:sz="0" w:space="0" w:color="auto"/>
        <w:left w:val="none" w:sz="0" w:space="0" w:color="auto"/>
        <w:bottom w:val="none" w:sz="0" w:space="0" w:color="auto"/>
        <w:right w:val="none" w:sz="0" w:space="0" w:color="auto"/>
      </w:divBdr>
    </w:div>
    <w:div w:id="942151662">
      <w:bodyDiv w:val="1"/>
      <w:marLeft w:val="0"/>
      <w:marRight w:val="0"/>
      <w:marTop w:val="0"/>
      <w:marBottom w:val="0"/>
      <w:divBdr>
        <w:top w:val="none" w:sz="0" w:space="0" w:color="auto"/>
        <w:left w:val="none" w:sz="0" w:space="0" w:color="auto"/>
        <w:bottom w:val="none" w:sz="0" w:space="0" w:color="auto"/>
        <w:right w:val="none" w:sz="0" w:space="0" w:color="auto"/>
      </w:divBdr>
    </w:div>
    <w:div w:id="961375765">
      <w:bodyDiv w:val="1"/>
      <w:marLeft w:val="0"/>
      <w:marRight w:val="0"/>
      <w:marTop w:val="0"/>
      <w:marBottom w:val="0"/>
      <w:divBdr>
        <w:top w:val="none" w:sz="0" w:space="0" w:color="auto"/>
        <w:left w:val="none" w:sz="0" w:space="0" w:color="auto"/>
        <w:bottom w:val="none" w:sz="0" w:space="0" w:color="auto"/>
        <w:right w:val="none" w:sz="0" w:space="0" w:color="auto"/>
      </w:divBdr>
    </w:div>
    <w:div w:id="974138092">
      <w:bodyDiv w:val="1"/>
      <w:marLeft w:val="0"/>
      <w:marRight w:val="0"/>
      <w:marTop w:val="0"/>
      <w:marBottom w:val="0"/>
      <w:divBdr>
        <w:top w:val="none" w:sz="0" w:space="0" w:color="auto"/>
        <w:left w:val="none" w:sz="0" w:space="0" w:color="auto"/>
        <w:bottom w:val="none" w:sz="0" w:space="0" w:color="auto"/>
        <w:right w:val="none" w:sz="0" w:space="0" w:color="auto"/>
      </w:divBdr>
    </w:div>
    <w:div w:id="1006443622">
      <w:bodyDiv w:val="1"/>
      <w:marLeft w:val="0"/>
      <w:marRight w:val="0"/>
      <w:marTop w:val="0"/>
      <w:marBottom w:val="0"/>
      <w:divBdr>
        <w:top w:val="none" w:sz="0" w:space="0" w:color="auto"/>
        <w:left w:val="none" w:sz="0" w:space="0" w:color="auto"/>
        <w:bottom w:val="none" w:sz="0" w:space="0" w:color="auto"/>
        <w:right w:val="none" w:sz="0" w:space="0" w:color="auto"/>
      </w:divBdr>
    </w:div>
    <w:div w:id="1032415070">
      <w:bodyDiv w:val="1"/>
      <w:marLeft w:val="0"/>
      <w:marRight w:val="0"/>
      <w:marTop w:val="0"/>
      <w:marBottom w:val="0"/>
      <w:divBdr>
        <w:top w:val="none" w:sz="0" w:space="0" w:color="auto"/>
        <w:left w:val="none" w:sz="0" w:space="0" w:color="auto"/>
        <w:bottom w:val="none" w:sz="0" w:space="0" w:color="auto"/>
        <w:right w:val="none" w:sz="0" w:space="0" w:color="auto"/>
      </w:divBdr>
      <w:divsChild>
        <w:div w:id="396825829">
          <w:marLeft w:val="547"/>
          <w:marRight w:val="0"/>
          <w:marTop w:val="0"/>
          <w:marBottom w:val="0"/>
          <w:divBdr>
            <w:top w:val="none" w:sz="0" w:space="0" w:color="auto"/>
            <w:left w:val="none" w:sz="0" w:space="0" w:color="auto"/>
            <w:bottom w:val="none" w:sz="0" w:space="0" w:color="auto"/>
            <w:right w:val="none" w:sz="0" w:space="0" w:color="auto"/>
          </w:divBdr>
        </w:div>
        <w:div w:id="838614459">
          <w:marLeft w:val="547"/>
          <w:marRight w:val="0"/>
          <w:marTop w:val="0"/>
          <w:marBottom w:val="0"/>
          <w:divBdr>
            <w:top w:val="none" w:sz="0" w:space="0" w:color="auto"/>
            <w:left w:val="none" w:sz="0" w:space="0" w:color="auto"/>
            <w:bottom w:val="none" w:sz="0" w:space="0" w:color="auto"/>
            <w:right w:val="none" w:sz="0" w:space="0" w:color="auto"/>
          </w:divBdr>
        </w:div>
        <w:div w:id="1348749635">
          <w:marLeft w:val="547"/>
          <w:marRight w:val="0"/>
          <w:marTop w:val="0"/>
          <w:marBottom w:val="0"/>
          <w:divBdr>
            <w:top w:val="none" w:sz="0" w:space="0" w:color="auto"/>
            <w:left w:val="none" w:sz="0" w:space="0" w:color="auto"/>
            <w:bottom w:val="none" w:sz="0" w:space="0" w:color="auto"/>
            <w:right w:val="none" w:sz="0" w:space="0" w:color="auto"/>
          </w:divBdr>
        </w:div>
        <w:div w:id="1778522499">
          <w:marLeft w:val="1166"/>
          <w:marRight w:val="0"/>
          <w:marTop w:val="0"/>
          <w:marBottom w:val="0"/>
          <w:divBdr>
            <w:top w:val="none" w:sz="0" w:space="0" w:color="auto"/>
            <w:left w:val="none" w:sz="0" w:space="0" w:color="auto"/>
            <w:bottom w:val="none" w:sz="0" w:space="0" w:color="auto"/>
            <w:right w:val="none" w:sz="0" w:space="0" w:color="auto"/>
          </w:divBdr>
        </w:div>
        <w:div w:id="1908608641">
          <w:marLeft w:val="1166"/>
          <w:marRight w:val="0"/>
          <w:marTop w:val="0"/>
          <w:marBottom w:val="0"/>
          <w:divBdr>
            <w:top w:val="none" w:sz="0" w:space="0" w:color="auto"/>
            <w:left w:val="none" w:sz="0" w:space="0" w:color="auto"/>
            <w:bottom w:val="none" w:sz="0" w:space="0" w:color="auto"/>
            <w:right w:val="none" w:sz="0" w:space="0" w:color="auto"/>
          </w:divBdr>
        </w:div>
      </w:divsChild>
    </w:div>
    <w:div w:id="1036587843">
      <w:bodyDiv w:val="1"/>
      <w:marLeft w:val="0"/>
      <w:marRight w:val="0"/>
      <w:marTop w:val="0"/>
      <w:marBottom w:val="0"/>
      <w:divBdr>
        <w:top w:val="none" w:sz="0" w:space="0" w:color="auto"/>
        <w:left w:val="none" w:sz="0" w:space="0" w:color="auto"/>
        <w:bottom w:val="none" w:sz="0" w:space="0" w:color="auto"/>
        <w:right w:val="none" w:sz="0" w:space="0" w:color="auto"/>
      </w:divBdr>
    </w:div>
    <w:div w:id="1046488393">
      <w:bodyDiv w:val="1"/>
      <w:marLeft w:val="0"/>
      <w:marRight w:val="0"/>
      <w:marTop w:val="0"/>
      <w:marBottom w:val="0"/>
      <w:divBdr>
        <w:top w:val="none" w:sz="0" w:space="0" w:color="auto"/>
        <w:left w:val="none" w:sz="0" w:space="0" w:color="auto"/>
        <w:bottom w:val="none" w:sz="0" w:space="0" w:color="auto"/>
        <w:right w:val="none" w:sz="0" w:space="0" w:color="auto"/>
      </w:divBdr>
      <w:divsChild>
        <w:div w:id="1206136629">
          <w:marLeft w:val="547"/>
          <w:marRight w:val="0"/>
          <w:marTop w:val="0"/>
          <w:marBottom w:val="0"/>
          <w:divBdr>
            <w:top w:val="none" w:sz="0" w:space="0" w:color="auto"/>
            <w:left w:val="none" w:sz="0" w:space="0" w:color="auto"/>
            <w:bottom w:val="none" w:sz="0" w:space="0" w:color="auto"/>
            <w:right w:val="none" w:sz="0" w:space="0" w:color="auto"/>
          </w:divBdr>
        </w:div>
        <w:div w:id="1300527451">
          <w:marLeft w:val="547"/>
          <w:marRight w:val="0"/>
          <w:marTop w:val="0"/>
          <w:marBottom w:val="0"/>
          <w:divBdr>
            <w:top w:val="none" w:sz="0" w:space="0" w:color="auto"/>
            <w:left w:val="none" w:sz="0" w:space="0" w:color="auto"/>
            <w:bottom w:val="none" w:sz="0" w:space="0" w:color="auto"/>
            <w:right w:val="none" w:sz="0" w:space="0" w:color="auto"/>
          </w:divBdr>
        </w:div>
        <w:div w:id="1678311655">
          <w:marLeft w:val="547"/>
          <w:marRight w:val="0"/>
          <w:marTop w:val="0"/>
          <w:marBottom w:val="0"/>
          <w:divBdr>
            <w:top w:val="none" w:sz="0" w:space="0" w:color="auto"/>
            <w:left w:val="none" w:sz="0" w:space="0" w:color="auto"/>
            <w:bottom w:val="none" w:sz="0" w:space="0" w:color="auto"/>
            <w:right w:val="none" w:sz="0" w:space="0" w:color="auto"/>
          </w:divBdr>
        </w:div>
      </w:divsChild>
    </w:div>
    <w:div w:id="1152597997">
      <w:bodyDiv w:val="1"/>
      <w:marLeft w:val="0"/>
      <w:marRight w:val="0"/>
      <w:marTop w:val="0"/>
      <w:marBottom w:val="0"/>
      <w:divBdr>
        <w:top w:val="none" w:sz="0" w:space="0" w:color="auto"/>
        <w:left w:val="none" w:sz="0" w:space="0" w:color="auto"/>
        <w:bottom w:val="none" w:sz="0" w:space="0" w:color="auto"/>
        <w:right w:val="none" w:sz="0" w:space="0" w:color="auto"/>
      </w:divBdr>
    </w:div>
    <w:div w:id="1287469390">
      <w:bodyDiv w:val="1"/>
      <w:marLeft w:val="0"/>
      <w:marRight w:val="0"/>
      <w:marTop w:val="0"/>
      <w:marBottom w:val="0"/>
      <w:divBdr>
        <w:top w:val="none" w:sz="0" w:space="0" w:color="auto"/>
        <w:left w:val="none" w:sz="0" w:space="0" w:color="auto"/>
        <w:bottom w:val="none" w:sz="0" w:space="0" w:color="auto"/>
        <w:right w:val="none" w:sz="0" w:space="0" w:color="auto"/>
      </w:divBdr>
      <w:divsChild>
        <w:div w:id="41097087">
          <w:marLeft w:val="446"/>
          <w:marRight w:val="0"/>
          <w:marTop w:val="0"/>
          <w:marBottom w:val="0"/>
          <w:divBdr>
            <w:top w:val="none" w:sz="0" w:space="0" w:color="auto"/>
            <w:left w:val="none" w:sz="0" w:space="0" w:color="auto"/>
            <w:bottom w:val="none" w:sz="0" w:space="0" w:color="auto"/>
            <w:right w:val="none" w:sz="0" w:space="0" w:color="auto"/>
          </w:divBdr>
        </w:div>
        <w:div w:id="176233758">
          <w:marLeft w:val="446"/>
          <w:marRight w:val="0"/>
          <w:marTop w:val="0"/>
          <w:marBottom w:val="0"/>
          <w:divBdr>
            <w:top w:val="none" w:sz="0" w:space="0" w:color="auto"/>
            <w:left w:val="none" w:sz="0" w:space="0" w:color="auto"/>
            <w:bottom w:val="none" w:sz="0" w:space="0" w:color="auto"/>
            <w:right w:val="none" w:sz="0" w:space="0" w:color="auto"/>
          </w:divBdr>
        </w:div>
        <w:div w:id="234317011">
          <w:marLeft w:val="446"/>
          <w:marRight w:val="0"/>
          <w:marTop w:val="0"/>
          <w:marBottom w:val="0"/>
          <w:divBdr>
            <w:top w:val="none" w:sz="0" w:space="0" w:color="auto"/>
            <w:left w:val="none" w:sz="0" w:space="0" w:color="auto"/>
            <w:bottom w:val="none" w:sz="0" w:space="0" w:color="auto"/>
            <w:right w:val="none" w:sz="0" w:space="0" w:color="auto"/>
          </w:divBdr>
        </w:div>
        <w:div w:id="742719696">
          <w:marLeft w:val="446"/>
          <w:marRight w:val="0"/>
          <w:marTop w:val="0"/>
          <w:marBottom w:val="0"/>
          <w:divBdr>
            <w:top w:val="none" w:sz="0" w:space="0" w:color="auto"/>
            <w:left w:val="none" w:sz="0" w:space="0" w:color="auto"/>
            <w:bottom w:val="none" w:sz="0" w:space="0" w:color="auto"/>
            <w:right w:val="none" w:sz="0" w:space="0" w:color="auto"/>
          </w:divBdr>
        </w:div>
        <w:div w:id="857963974">
          <w:marLeft w:val="446"/>
          <w:marRight w:val="0"/>
          <w:marTop w:val="0"/>
          <w:marBottom w:val="0"/>
          <w:divBdr>
            <w:top w:val="none" w:sz="0" w:space="0" w:color="auto"/>
            <w:left w:val="none" w:sz="0" w:space="0" w:color="auto"/>
            <w:bottom w:val="none" w:sz="0" w:space="0" w:color="auto"/>
            <w:right w:val="none" w:sz="0" w:space="0" w:color="auto"/>
          </w:divBdr>
        </w:div>
        <w:div w:id="946042339">
          <w:marLeft w:val="446"/>
          <w:marRight w:val="0"/>
          <w:marTop w:val="0"/>
          <w:marBottom w:val="0"/>
          <w:divBdr>
            <w:top w:val="none" w:sz="0" w:space="0" w:color="auto"/>
            <w:left w:val="none" w:sz="0" w:space="0" w:color="auto"/>
            <w:bottom w:val="none" w:sz="0" w:space="0" w:color="auto"/>
            <w:right w:val="none" w:sz="0" w:space="0" w:color="auto"/>
          </w:divBdr>
        </w:div>
        <w:div w:id="961421333">
          <w:marLeft w:val="446"/>
          <w:marRight w:val="0"/>
          <w:marTop w:val="0"/>
          <w:marBottom w:val="0"/>
          <w:divBdr>
            <w:top w:val="none" w:sz="0" w:space="0" w:color="auto"/>
            <w:left w:val="none" w:sz="0" w:space="0" w:color="auto"/>
            <w:bottom w:val="none" w:sz="0" w:space="0" w:color="auto"/>
            <w:right w:val="none" w:sz="0" w:space="0" w:color="auto"/>
          </w:divBdr>
        </w:div>
        <w:div w:id="964582955">
          <w:marLeft w:val="446"/>
          <w:marRight w:val="0"/>
          <w:marTop w:val="0"/>
          <w:marBottom w:val="0"/>
          <w:divBdr>
            <w:top w:val="none" w:sz="0" w:space="0" w:color="auto"/>
            <w:left w:val="none" w:sz="0" w:space="0" w:color="auto"/>
            <w:bottom w:val="none" w:sz="0" w:space="0" w:color="auto"/>
            <w:right w:val="none" w:sz="0" w:space="0" w:color="auto"/>
          </w:divBdr>
        </w:div>
        <w:div w:id="1167936796">
          <w:marLeft w:val="446"/>
          <w:marRight w:val="0"/>
          <w:marTop w:val="0"/>
          <w:marBottom w:val="0"/>
          <w:divBdr>
            <w:top w:val="none" w:sz="0" w:space="0" w:color="auto"/>
            <w:left w:val="none" w:sz="0" w:space="0" w:color="auto"/>
            <w:bottom w:val="none" w:sz="0" w:space="0" w:color="auto"/>
            <w:right w:val="none" w:sz="0" w:space="0" w:color="auto"/>
          </w:divBdr>
        </w:div>
        <w:div w:id="1261646749">
          <w:marLeft w:val="446"/>
          <w:marRight w:val="0"/>
          <w:marTop w:val="0"/>
          <w:marBottom w:val="0"/>
          <w:divBdr>
            <w:top w:val="none" w:sz="0" w:space="0" w:color="auto"/>
            <w:left w:val="none" w:sz="0" w:space="0" w:color="auto"/>
            <w:bottom w:val="none" w:sz="0" w:space="0" w:color="auto"/>
            <w:right w:val="none" w:sz="0" w:space="0" w:color="auto"/>
          </w:divBdr>
        </w:div>
        <w:div w:id="1282610595">
          <w:marLeft w:val="446"/>
          <w:marRight w:val="0"/>
          <w:marTop w:val="0"/>
          <w:marBottom w:val="0"/>
          <w:divBdr>
            <w:top w:val="none" w:sz="0" w:space="0" w:color="auto"/>
            <w:left w:val="none" w:sz="0" w:space="0" w:color="auto"/>
            <w:bottom w:val="none" w:sz="0" w:space="0" w:color="auto"/>
            <w:right w:val="none" w:sz="0" w:space="0" w:color="auto"/>
          </w:divBdr>
        </w:div>
        <w:div w:id="1299532050">
          <w:marLeft w:val="446"/>
          <w:marRight w:val="0"/>
          <w:marTop w:val="0"/>
          <w:marBottom w:val="0"/>
          <w:divBdr>
            <w:top w:val="none" w:sz="0" w:space="0" w:color="auto"/>
            <w:left w:val="none" w:sz="0" w:space="0" w:color="auto"/>
            <w:bottom w:val="none" w:sz="0" w:space="0" w:color="auto"/>
            <w:right w:val="none" w:sz="0" w:space="0" w:color="auto"/>
          </w:divBdr>
        </w:div>
        <w:div w:id="1311863897">
          <w:marLeft w:val="446"/>
          <w:marRight w:val="0"/>
          <w:marTop w:val="0"/>
          <w:marBottom w:val="0"/>
          <w:divBdr>
            <w:top w:val="none" w:sz="0" w:space="0" w:color="auto"/>
            <w:left w:val="none" w:sz="0" w:space="0" w:color="auto"/>
            <w:bottom w:val="none" w:sz="0" w:space="0" w:color="auto"/>
            <w:right w:val="none" w:sz="0" w:space="0" w:color="auto"/>
          </w:divBdr>
        </w:div>
        <w:div w:id="1313942714">
          <w:marLeft w:val="446"/>
          <w:marRight w:val="0"/>
          <w:marTop w:val="0"/>
          <w:marBottom w:val="0"/>
          <w:divBdr>
            <w:top w:val="none" w:sz="0" w:space="0" w:color="auto"/>
            <w:left w:val="none" w:sz="0" w:space="0" w:color="auto"/>
            <w:bottom w:val="none" w:sz="0" w:space="0" w:color="auto"/>
            <w:right w:val="none" w:sz="0" w:space="0" w:color="auto"/>
          </w:divBdr>
        </w:div>
        <w:div w:id="1427118829">
          <w:marLeft w:val="446"/>
          <w:marRight w:val="0"/>
          <w:marTop w:val="0"/>
          <w:marBottom w:val="0"/>
          <w:divBdr>
            <w:top w:val="none" w:sz="0" w:space="0" w:color="auto"/>
            <w:left w:val="none" w:sz="0" w:space="0" w:color="auto"/>
            <w:bottom w:val="none" w:sz="0" w:space="0" w:color="auto"/>
            <w:right w:val="none" w:sz="0" w:space="0" w:color="auto"/>
          </w:divBdr>
        </w:div>
        <w:div w:id="1481772875">
          <w:marLeft w:val="446"/>
          <w:marRight w:val="0"/>
          <w:marTop w:val="0"/>
          <w:marBottom w:val="0"/>
          <w:divBdr>
            <w:top w:val="none" w:sz="0" w:space="0" w:color="auto"/>
            <w:left w:val="none" w:sz="0" w:space="0" w:color="auto"/>
            <w:bottom w:val="none" w:sz="0" w:space="0" w:color="auto"/>
            <w:right w:val="none" w:sz="0" w:space="0" w:color="auto"/>
          </w:divBdr>
        </w:div>
        <w:div w:id="1539128236">
          <w:marLeft w:val="446"/>
          <w:marRight w:val="0"/>
          <w:marTop w:val="0"/>
          <w:marBottom w:val="0"/>
          <w:divBdr>
            <w:top w:val="none" w:sz="0" w:space="0" w:color="auto"/>
            <w:left w:val="none" w:sz="0" w:space="0" w:color="auto"/>
            <w:bottom w:val="none" w:sz="0" w:space="0" w:color="auto"/>
            <w:right w:val="none" w:sz="0" w:space="0" w:color="auto"/>
          </w:divBdr>
        </w:div>
        <w:div w:id="1542285134">
          <w:marLeft w:val="446"/>
          <w:marRight w:val="0"/>
          <w:marTop w:val="0"/>
          <w:marBottom w:val="0"/>
          <w:divBdr>
            <w:top w:val="none" w:sz="0" w:space="0" w:color="auto"/>
            <w:left w:val="none" w:sz="0" w:space="0" w:color="auto"/>
            <w:bottom w:val="none" w:sz="0" w:space="0" w:color="auto"/>
            <w:right w:val="none" w:sz="0" w:space="0" w:color="auto"/>
          </w:divBdr>
        </w:div>
        <w:div w:id="1646155391">
          <w:marLeft w:val="446"/>
          <w:marRight w:val="0"/>
          <w:marTop w:val="0"/>
          <w:marBottom w:val="0"/>
          <w:divBdr>
            <w:top w:val="none" w:sz="0" w:space="0" w:color="auto"/>
            <w:left w:val="none" w:sz="0" w:space="0" w:color="auto"/>
            <w:bottom w:val="none" w:sz="0" w:space="0" w:color="auto"/>
            <w:right w:val="none" w:sz="0" w:space="0" w:color="auto"/>
          </w:divBdr>
        </w:div>
        <w:div w:id="1721247530">
          <w:marLeft w:val="446"/>
          <w:marRight w:val="0"/>
          <w:marTop w:val="0"/>
          <w:marBottom w:val="0"/>
          <w:divBdr>
            <w:top w:val="none" w:sz="0" w:space="0" w:color="auto"/>
            <w:left w:val="none" w:sz="0" w:space="0" w:color="auto"/>
            <w:bottom w:val="none" w:sz="0" w:space="0" w:color="auto"/>
            <w:right w:val="none" w:sz="0" w:space="0" w:color="auto"/>
          </w:divBdr>
        </w:div>
        <w:div w:id="1723749488">
          <w:marLeft w:val="446"/>
          <w:marRight w:val="0"/>
          <w:marTop w:val="0"/>
          <w:marBottom w:val="0"/>
          <w:divBdr>
            <w:top w:val="none" w:sz="0" w:space="0" w:color="auto"/>
            <w:left w:val="none" w:sz="0" w:space="0" w:color="auto"/>
            <w:bottom w:val="none" w:sz="0" w:space="0" w:color="auto"/>
            <w:right w:val="none" w:sz="0" w:space="0" w:color="auto"/>
          </w:divBdr>
        </w:div>
        <w:div w:id="1777363332">
          <w:marLeft w:val="446"/>
          <w:marRight w:val="0"/>
          <w:marTop w:val="0"/>
          <w:marBottom w:val="0"/>
          <w:divBdr>
            <w:top w:val="none" w:sz="0" w:space="0" w:color="auto"/>
            <w:left w:val="none" w:sz="0" w:space="0" w:color="auto"/>
            <w:bottom w:val="none" w:sz="0" w:space="0" w:color="auto"/>
            <w:right w:val="none" w:sz="0" w:space="0" w:color="auto"/>
          </w:divBdr>
        </w:div>
        <w:div w:id="1841193962">
          <w:marLeft w:val="446"/>
          <w:marRight w:val="0"/>
          <w:marTop w:val="0"/>
          <w:marBottom w:val="0"/>
          <w:divBdr>
            <w:top w:val="none" w:sz="0" w:space="0" w:color="auto"/>
            <w:left w:val="none" w:sz="0" w:space="0" w:color="auto"/>
            <w:bottom w:val="none" w:sz="0" w:space="0" w:color="auto"/>
            <w:right w:val="none" w:sz="0" w:space="0" w:color="auto"/>
          </w:divBdr>
        </w:div>
      </w:divsChild>
    </w:div>
    <w:div w:id="1300189930">
      <w:bodyDiv w:val="1"/>
      <w:marLeft w:val="0"/>
      <w:marRight w:val="0"/>
      <w:marTop w:val="0"/>
      <w:marBottom w:val="0"/>
      <w:divBdr>
        <w:top w:val="none" w:sz="0" w:space="0" w:color="auto"/>
        <w:left w:val="none" w:sz="0" w:space="0" w:color="auto"/>
        <w:bottom w:val="none" w:sz="0" w:space="0" w:color="auto"/>
        <w:right w:val="none" w:sz="0" w:space="0" w:color="auto"/>
      </w:divBdr>
    </w:div>
    <w:div w:id="1347099390">
      <w:bodyDiv w:val="1"/>
      <w:marLeft w:val="0"/>
      <w:marRight w:val="0"/>
      <w:marTop w:val="0"/>
      <w:marBottom w:val="0"/>
      <w:divBdr>
        <w:top w:val="none" w:sz="0" w:space="0" w:color="auto"/>
        <w:left w:val="none" w:sz="0" w:space="0" w:color="auto"/>
        <w:bottom w:val="none" w:sz="0" w:space="0" w:color="auto"/>
        <w:right w:val="none" w:sz="0" w:space="0" w:color="auto"/>
      </w:divBdr>
    </w:div>
    <w:div w:id="1361396261">
      <w:bodyDiv w:val="1"/>
      <w:marLeft w:val="0"/>
      <w:marRight w:val="0"/>
      <w:marTop w:val="0"/>
      <w:marBottom w:val="0"/>
      <w:divBdr>
        <w:top w:val="none" w:sz="0" w:space="0" w:color="auto"/>
        <w:left w:val="none" w:sz="0" w:space="0" w:color="auto"/>
        <w:bottom w:val="none" w:sz="0" w:space="0" w:color="auto"/>
        <w:right w:val="none" w:sz="0" w:space="0" w:color="auto"/>
      </w:divBdr>
    </w:div>
    <w:div w:id="1391148288">
      <w:bodyDiv w:val="1"/>
      <w:marLeft w:val="0"/>
      <w:marRight w:val="0"/>
      <w:marTop w:val="0"/>
      <w:marBottom w:val="0"/>
      <w:divBdr>
        <w:top w:val="none" w:sz="0" w:space="0" w:color="auto"/>
        <w:left w:val="none" w:sz="0" w:space="0" w:color="auto"/>
        <w:bottom w:val="none" w:sz="0" w:space="0" w:color="auto"/>
        <w:right w:val="none" w:sz="0" w:space="0" w:color="auto"/>
      </w:divBdr>
    </w:div>
    <w:div w:id="1391229377">
      <w:bodyDiv w:val="1"/>
      <w:marLeft w:val="0"/>
      <w:marRight w:val="0"/>
      <w:marTop w:val="0"/>
      <w:marBottom w:val="0"/>
      <w:divBdr>
        <w:top w:val="none" w:sz="0" w:space="0" w:color="auto"/>
        <w:left w:val="none" w:sz="0" w:space="0" w:color="auto"/>
        <w:bottom w:val="none" w:sz="0" w:space="0" w:color="auto"/>
        <w:right w:val="none" w:sz="0" w:space="0" w:color="auto"/>
      </w:divBdr>
    </w:div>
    <w:div w:id="1542398686">
      <w:bodyDiv w:val="1"/>
      <w:marLeft w:val="0"/>
      <w:marRight w:val="0"/>
      <w:marTop w:val="0"/>
      <w:marBottom w:val="0"/>
      <w:divBdr>
        <w:top w:val="none" w:sz="0" w:space="0" w:color="auto"/>
        <w:left w:val="none" w:sz="0" w:space="0" w:color="auto"/>
        <w:bottom w:val="none" w:sz="0" w:space="0" w:color="auto"/>
        <w:right w:val="none" w:sz="0" w:space="0" w:color="auto"/>
      </w:divBdr>
    </w:div>
    <w:div w:id="1561554058">
      <w:bodyDiv w:val="1"/>
      <w:marLeft w:val="0"/>
      <w:marRight w:val="0"/>
      <w:marTop w:val="0"/>
      <w:marBottom w:val="0"/>
      <w:divBdr>
        <w:top w:val="none" w:sz="0" w:space="0" w:color="auto"/>
        <w:left w:val="none" w:sz="0" w:space="0" w:color="auto"/>
        <w:bottom w:val="none" w:sz="0" w:space="0" w:color="auto"/>
        <w:right w:val="none" w:sz="0" w:space="0" w:color="auto"/>
      </w:divBdr>
      <w:divsChild>
        <w:div w:id="38745928">
          <w:marLeft w:val="446"/>
          <w:marRight w:val="0"/>
          <w:marTop w:val="0"/>
          <w:marBottom w:val="120"/>
          <w:divBdr>
            <w:top w:val="none" w:sz="0" w:space="0" w:color="auto"/>
            <w:left w:val="none" w:sz="0" w:space="0" w:color="auto"/>
            <w:bottom w:val="none" w:sz="0" w:space="0" w:color="auto"/>
            <w:right w:val="none" w:sz="0" w:space="0" w:color="auto"/>
          </w:divBdr>
        </w:div>
        <w:div w:id="145320068">
          <w:marLeft w:val="446"/>
          <w:marRight w:val="0"/>
          <w:marTop w:val="0"/>
          <w:marBottom w:val="120"/>
          <w:divBdr>
            <w:top w:val="none" w:sz="0" w:space="0" w:color="auto"/>
            <w:left w:val="none" w:sz="0" w:space="0" w:color="auto"/>
            <w:bottom w:val="none" w:sz="0" w:space="0" w:color="auto"/>
            <w:right w:val="none" w:sz="0" w:space="0" w:color="auto"/>
          </w:divBdr>
        </w:div>
        <w:div w:id="1033968869">
          <w:marLeft w:val="446"/>
          <w:marRight w:val="0"/>
          <w:marTop w:val="0"/>
          <w:marBottom w:val="120"/>
          <w:divBdr>
            <w:top w:val="none" w:sz="0" w:space="0" w:color="auto"/>
            <w:left w:val="none" w:sz="0" w:space="0" w:color="auto"/>
            <w:bottom w:val="none" w:sz="0" w:space="0" w:color="auto"/>
            <w:right w:val="none" w:sz="0" w:space="0" w:color="auto"/>
          </w:divBdr>
        </w:div>
        <w:div w:id="1674867978">
          <w:marLeft w:val="446"/>
          <w:marRight w:val="0"/>
          <w:marTop w:val="0"/>
          <w:marBottom w:val="120"/>
          <w:divBdr>
            <w:top w:val="none" w:sz="0" w:space="0" w:color="auto"/>
            <w:left w:val="none" w:sz="0" w:space="0" w:color="auto"/>
            <w:bottom w:val="none" w:sz="0" w:space="0" w:color="auto"/>
            <w:right w:val="none" w:sz="0" w:space="0" w:color="auto"/>
          </w:divBdr>
        </w:div>
      </w:divsChild>
    </w:div>
    <w:div w:id="1565721915">
      <w:bodyDiv w:val="1"/>
      <w:marLeft w:val="0"/>
      <w:marRight w:val="0"/>
      <w:marTop w:val="0"/>
      <w:marBottom w:val="0"/>
      <w:divBdr>
        <w:top w:val="none" w:sz="0" w:space="0" w:color="auto"/>
        <w:left w:val="none" w:sz="0" w:space="0" w:color="auto"/>
        <w:bottom w:val="none" w:sz="0" w:space="0" w:color="auto"/>
        <w:right w:val="none" w:sz="0" w:space="0" w:color="auto"/>
      </w:divBdr>
    </w:div>
    <w:div w:id="1575167144">
      <w:bodyDiv w:val="1"/>
      <w:marLeft w:val="0"/>
      <w:marRight w:val="0"/>
      <w:marTop w:val="0"/>
      <w:marBottom w:val="0"/>
      <w:divBdr>
        <w:top w:val="none" w:sz="0" w:space="0" w:color="auto"/>
        <w:left w:val="none" w:sz="0" w:space="0" w:color="auto"/>
        <w:bottom w:val="none" w:sz="0" w:space="0" w:color="auto"/>
        <w:right w:val="none" w:sz="0" w:space="0" w:color="auto"/>
      </w:divBdr>
      <w:divsChild>
        <w:div w:id="400980808">
          <w:marLeft w:val="446"/>
          <w:marRight w:val="0"/>
          <w:marTop w:val="0"/>
          <w:marBottom w:val="0"/>
          <w:divBdr>
            <w:top w:val="none" w:sz="0" w:space="0" w:color="auto"/>
            <w:left w:val="none" w:sz="0" w:space="0" w:color="auto"/>
            <w:bottom w:val="none" w:sz="0" w:space="0" w:color="auto"/>
            <w:right w:val="none" w:sz="0" w:space="0" w:color="auto"/>
          </w:divBdr>
        </w:div>
        <w:div w:id="831985646">
          <w:marLeft w:val="446"/>
          <w:marRight w:val="0"/>
          <w:marTop w:val="0"/>
          <w:marBottom w:val="0"/>
          <w:divBdr>
            <w:top w:val="none" w:sz="0" w:space="0" w:color="auto"/>
            <w:left w:val="none" w:sz="0" w:space="0" w:color="auto"/>
            <w:bottom w:val="none" w:sz="0" w:space="0" w:color="auto"/>
            <w:right w:val="none" w:sz="0" w:space="0" w:color="auto"/>
          </w:divBdr>
        </w:div>
        <w:div w:id="1915042796">
          <w:marLeft w:val="446"/>
          <w:marRight w:val="0"/>
          <w:marTop w:val="0"/>
          <w:marBottom w:val="0"/>
          <w:divBdr>
            <w:top w:val="none" w:sz="0" w:space="0" w:color="auto"/>
            <w:left w:val="none" w:sz="0" w:space="0" w:color="auto"/>
            <w:bottom w:val="none" w:sz="0" w:space="0" w:color="auto"/>
            <w:right w:val="none" w:sz="0" w:space="0" w:color="auto"/>
          </w:divBdr>
        </w:div>
      </w:divsChild>
    </w:div>
    <w:div w:id="1580409550">
      <w:bodyDiv w:val="1"/>
      <w:marLeft w:val="0"/>
      <w:marRight w:val="0"/>
      <w:marTop w:val="0"/>
      <w:marBottom w:val="0"/>
      <w:divBdr>
        <w:top w:val="none" w:sz="0" w:space="0" w:color="auto"/>
        <w:left w:val="none" w:sz="0" w:space="0" w:color="auto"/>
        <w:bottom w:val="none" w:sz="0" w:space="0" w:color="auto"/>
        <w:right w:val="none" w:sz="0" w:space="0" w:color="auto"/>
      </w:divBdr>
    </w:div>
    <w:div w:id="1584222647">
      <w:bodyDiv w:val="1"/>
      <w:marLeft w:val="0"/>
      <w:marRight w:val="0"/>
      <w:marTop w:val="0"/>
      <w:marBottom w:val="0"/>
      <w:divBdr>
        <w:top w:val="none" w:sz="0" w:space="0" w:color="auto"/>
        <w:left w:val="none" w:sz="0" w:space="0" w:color="auto"/>
        <w:bottom w:val="none" w:sz="0" w:space="0" w:color="auto"/>
        <w:right w:val="none" w:sz="0" w:space="0" w:color="auto"/>
      </w:divBdr>
    </w:div>
    <w:div w:id="1600986763">
      <w:bodyDiv w:val="1"/>
      <w:marLeft w:val="0"/>
      <w:marRight w:val="0"/>
      <w:marTop w:val="0"/>
      <w:marBottom w:val="0"/>
      <w:divBdr>
        <w:top w:val="none" w:sz="0" w:space="0" w:color="auto"/>
        <w:left w:val="none" w:sz="0" w:space="0" w:color="auto"/>
        <w:bottom w:val="none" w:sz="0" w:space="0" w:color="auto"/>
        <w:right w:val="none" w:sz="0" w:space="0" w:color="auto"/>
      </w:divBdr>
    </w:div>
    <w:div w:id="1610812822">
      <w:bodyDiv w:val="1"/>
      <w:marLeft w:val="0"/>
      <w:marRight w:val="0"/>
      <w:marTop w:val="0"/>
      <w:marBottom w:val="0"/>
      <w:divBdr>
        <w:top w:val="none" w:sz="0" w:space="0" w:color="auto"/>
        <w:left w:val="none" w:sz="0" w:space="0" w:color="auto"/>
        <w:bottom w:val="none" w:sz="0" w:space="0" w:color="auto"/>
        <w:right w:val="none" w:sz="0" w:space="0" w:color="auto"/>
      </w:divBdr>
    </w:div>
    <w:div w:id="1612281753">
      <w:bodyDiv w:val="1"/>
      <w:marLeft w:val="0"/>
      <w:marRight w:val="0"/>
      <w:marTop w:val="0"/>
      <w:marBottom w:val="0"/>
      <w:divBdr>
        <w:top w:val="none" w:sz="0" w:space="0" w:color="auto"/>
        <w:left w:val="none" w:sz="0" w:space="0" w:color="auto"/>
        <w:bottom w:val="none" w:sz="0" w:space="0" w:color="auto"/>
        <w:right w:val="none" w:sz="0" w:space="0" w:color="auto"/>
      </w:divBdr>
      <w:divsChild>
        <w:div w:id="733242778">
          <w:marLeft w:val="446"/>
          <w:marRight w:val="0"/>
          <w:marTop w:val="0"/>
          <w:marBottom w:val="120"/>
          <w:divBdr>
            <w:top w:val="none" w:sz="0" w:space="0" w:color="auto"/>
            <w:left w:val="none" w:sz="0" w:space="0" w:color="auto"/>
            <w:bottom w:val="none" w:sz="0" w:space="0" w:color="auto"/>
            <w:right w:val="none" w:sz="0" w:space="0" w:color="auto"/>
          </w:divBdr>
        </w:div>
      </w:divsChild>
    </w:div>
    <w:div w:id="1671831300">
      <w:bodyDiv w:val="1"/>
      <w:marLeft w:val="0"/>
      <w:marRight w:val="0"/>
      <w:marTop w:val="0"/>
      <w:marBottom w:val="0"/>
      <w:divBdr>
        <w:top w:val="none" w:sz="0" w:space="0" w:color="auto"/>
        <w:left w:val="none" w:sz="0" w:space="0" w:color="auto"/>
        <w:bottom w:val="none" w:sz="0" w:space="0" w:color="auto"/>
        <w:right w:val="none" w:sz="0" w:space="0" w:color="auto"/>
      </w:divBdr>
    </w:div>
    <w:div w:id="1761483607">
      <w:bodyDiv w:val="1"/>
      <w:marLeft w:val="0"/>
      <w:marRight w:val="0"/>
      <w:marTop w:val="0"/>
      <w:marBottom w:val="0"/>
      <w:divBdr>
        <w:top w:val="none" w:sz="0" w:space="0" w:color="auto"/>
        <w:left w:val="none" w:sz="0" w:space="0" w:color="auto"/>
        <w:bottom w:val="none" w:sz="0" w:space="0" w:color="auto"/>
        <w:right w:val="none" w:sz="0" w:space="0" w:color="auto"/>
      </w:divBdr>
      <w:divsChild>
        <w:div w:id="42297536">
          <w:marLeft w:val="446"/>
          <w:marRight w:val="0"/>
          <w:marTop w:val="0"/>
          <w:marBottom w:val="120"/>
          <w:divBdr>
            <w:top w:val="none" w:sz="0" w:space="0" w:color="auto"/>
            <w:left w:val="none" w:sz="0" w:space="0" w:color="auto"/>
            <w:bottom w:val="none" w:sz="0" w:space="0" w:color="auto"/>
            <w:right w:val="none" w:sz="0" w:space="0" w:color="auto"/>
          </w:divBdr>
        </w:div>
        <w:div w:id="53237433">
          <w:marLeft w:val="446"/>
          <w:marRight w:val="0"/>
          <w:marTop w:val="0"/>
          <w:marBottom w:val="120"/>
          <w:divBdr>
            <w:top w:val="none" w:sz="0" w:space="0" w:color="auto"/>
            <w:left w:val="none" w:sz="0" w:space="0" w:color="auto"/>
            <w:bottom w:val="none" w:sz="0" w:space="0" w:color="auto"/>
            <w:right w:val="none" w:sz="0" w:space="0" w:color="auto"/>
          </w:divBdr>
        </w:div>
        <w:div w:id="614870423">
          <w:marLeft w:val="446"/>
          <w:marRight w:val="0"/>
          <w:marTop w:val="0"/>
          <w:marBottom w:val="120"/>
          <w:divBdr>
            <w:top w:val="none" w:sz="0" w:space="0" w:color="auto"/>
            <w:left w:val="none" w:sz="0" w:space="0" w:color="auto"/>
            <w:bottom w:val="none" w:sz="0" w:space="0" w:color="auto"/>
            <w:right w:val="none" w:sz="0" w:space="0" w:color="auto"/>
          </w:divBdr>
        </w:div>
        <w:div w:id="1636829921">
          <w:marLeft w:val="446"/>
          <w:marRight w:val="0"/>
          <w:marTop w:val="0"/>
          <w:marBottom w:val="120"/>
          <w:divBdr>
            <w:top w:val="none" w:sz="0" w:space="0" w:color="auto"/>
            <w:left w:val="none" w:sz="0" w:space="0" w:color="auto"/>
            <w:bottom w:val="none" w:sz="0" w:space="0" w:color="auto"/>
            <w:right w:val="none" w:sz="0" w:space="0" w:color="auto"/>
          </w:divBdr>
        </w:div>
      </w:divsChild>
    </w:div>
    <w:div w:id="1821573238">
      <w:bodyDiv w:val="1"/>
      <w:marLeft w:val="0"/>
      <w:marRight w:val="0"/>
      <w:marTop w:val="0"/>
      <w:marBottom w:val="0"/>
      <w:divBdr>
        <w:top w:val="none" w:sz="0" w:space="0" w:color="auto"/>
        <w:left w:val="none" w:sz="0" w:space="0" w:color="auto"/>
        <w:bottom w:val="none" w:sz="0" w:space="0" w:color="auto"/>
        <w:right w:val="none" w:sz="0" w:space="0" w:color="auto"/>
      </w:divBdr>
      <w:divsChild>
        <w:div w:id="656613608">
          <w:marLeft w:val="446"/>
          <w:marRight w:val="0"/>
          <w:marTop w:val="0"/>
          <w:marBottom w:val="120"/>
          <w:divBdr>
            <w:top w:val="none" w:sz="0" w:space="0" w:color="auto"/>
            <w:left w:val="none" w:sz="0" w:space="0" w:color="auto"/>
            <w:bottom w:val="none" w:sz="0" w:space="0" w:color="auto"/>
            <w:right w:val="none" w:sz="0" w:space="0" w:color="auto"/>
          </w:divBdr>
        </w:div>
      </w:divsChild>
    </w:div>
    <w:div w:id="1849707077">
      <w:bodyDiv w:val="1"/>
      <w:marLeft w:val="0"/>
      <w:marRight w:val="0"/>
      <w:marTop w:val="0"/>
      <w:marBottom w:val="0"/>
      <w:divBdr>
        <w:top w:val="none" w:sz="0" w:space="0" w:color="auto"/>
        <w:left w:val="none" w:sz="0" w:space="0" w:color="auto"/>
        <w:bottom w:val="none" w:sz="0" w:space="0" w:color="auto"/>
        <w:right w:val="none" w:sz="0" w:space="0" w:color="auto"/>
      </w:divBdr>
    </w:div>
    <w:div w:id="1864047998">
      <w:bodyDiv w:val="1"/>
      <w:marLeft w:val="0"/>
      <w:marRight w:val="0"/>
      <w:marTop w:val="0"/>
      <w:marBottom w:val="0"/>
      <w:divBdr>
        <w:top w:val="none" w:sz="0" w:space="0" w:color="auto"/>
        <w:left w:val="none" w:sz="0" w:space="0" w:color="auto"/>
        <w:bottom w:val="none" w:sz="0" w:space="0" w:color="auto"/>
        <w:right w:val="none" w:sz="0" w:space="0" w:color="auto"/>
      </w:divBdr>
    </w:div>
    <w:div w:id="1869641396">
      <w:bodyDiv w:val="1"/>
      <w:marLeft w:val="0"/>
      <w:marRight w:val="0"/>
      <w:marTop w:val="0"/>
      <w:marBottom w:val="0"/>
      <w:divBdr>
        <w:top w:val="none" w:sz="0" w:space="0" w:color="auto"/>
        <w:left w:val="none" w:sz="0" w:space="0" w:color="auto"/>
        <w:bottom w:val="none" w:sz="0" w:space="0" w:color="auto"/>
        <w:right w:val="none" w:sz="0" w:space="0" w:color="auto"/>
      </w:divBdr>
      <w:divsChild>
        <w:div w:id="72893367">
          <w:marLeft w:val="446"/>
          <w:marRight w:val="0"/>
          <w:marTop w:val="0"/>
          <w:marBottom w:val="0"/>
          <w:divBdr>
            <w:top w:val="none" w:sz="0" w:space="0" w:color="auto"/>
            <w:left w:val="none" w:sz="0" w:space="0" w:color="auto"/>
            <w:bottom w:val="none" w:sz="0" w:space="0" w:color="auto"/>
            <w:right w:val="none" w:sz="0" w:space="0" w:color="auto"/>
          </w:divBdr>
        </w:div>
        <w:div w:id="97020038">
          <w:marLeft w:val="446"/>
          <w:marRight w:val="0"/>
          <w:marTop w:val="0"/>
          <w:marBottom w:val="0"/>
          <w:divBdr>
            <w:top w:val="none" w:sz="0" w:space="0" w:color="auto"/>
            <w:left w:val="none" w:sz="0" w:space="0" w:color="auto"/>
            <w:bottom w:val="none" w:sz="0" w:space="0" w:color="auto"/>
            <w:right w:val="none" w:sz="0" w:space="0" w:color="auto"/>
          </w:divBdr>
        </w:div>
        <w:div w:id="121849350">
          <w:marLeft w:val="446"/>
          <w:marRight w:val="0"/>
          <w:marTop w:val="0"/>
          <w:marBottom w:val="0"/>
          <w:divBdr>
            <w:top w:val="none" w:sz="0" w:space="0" w:color="auto"/>
            <w:left w:val="none" w:sz="0" w:space="0" w:color="auto"/>
            <w:bottom w:val="none" w:sz="0" w:space="0" w:color="auto"/>
            <w:right w:val="none" w:sz="0" w:space="0" w:color="auto"/>
          </w:divBdr>
        </w:div>
        <w:div w:id="143786238">
          <w:marLeft w:val="446"/>
          <w:marRight w:val="0"/>
          <w:marTop w:val="0"/>
          <w:marBottom w:val="0"/>
          <w:divBdr>
            <w:top w:val="none" w:sz="0" w:space="0" w:color="auto"/>
            <w:left w:val="none" w:sz="0" w:space="0" w:color="auto"/>
            <w:bottom w:val="none" w:sz="0" w:space="0" w:color="auto"/>
            <w:right w:val="none" w:sz="0" w:space="0" w:color="auto"/>
          </w:divBdr>
        </w:div>
        <w:div w:id="212621168">
          <w:marLeft w:val="446"/>
          <w:marRight w:val="0"/>
          <w:marTop w:val="0"/>
          <w:marBottom w:val="0"/>
          <w:divBdr>
            <w:top w:val="none" w:sz="0" w:space="0" w:color="auto"/>
            <w:left w:val="none" w:sz="0" w:space="0" w:color="auto"/>
            <w:bottom w:val="none" w:sz="0" w:space="0" w:color="auto"/>
            <w:right w:val="none" w:sz="0" w:space="0" w:color="auto"/>
          </w:divBdr>
        </w:div>
        <w:div w:id="244806697">
          <w:marLeft w:val="446"/>
          <w:marRight w:val="0"/>
          <w:marTop w:val="0"/>
          <w:marBottom w:val="0"/>
          <w:divBdr>
            <w:top w:val="none" w:sz="0" w:space="0" w:color="auto"/>
            <w:left w:val="none" w:sz="0" w:space="0" w:color="auto"/>
            <w:bottom w:val="none" w:sz="0" w:space="0" w:color="auto"/>
            <w:right w:val="none" w:sz="0" w:space="0" w:color="auto"/>
          </w:divBdr>
        </w:div>
        <w:div w:id="506138223">
          <w:marLeft w:val="446"/>
          <w:marRight w:val="0"/>
          <w:marTop w:val="0"/>
          <w:marBottom w:val="0"/>
          <w:divBdr>
            <w:top w:val="none" w:sz="0" w:space="0" w:color="auto"/>
            <w:left w:val="none" w:sz="0" w:space="0" w:color="auto"/>
            <w:bottom w:val="none" w:sz="0" w:space="0" w:color="auto"/>
            <w:right w:val="none" w:sz="0" w:space="0" w:color="auto"/>
          </w:divBdr>
        </w:div>
        <w:div w:id="680621076">
          <w:marLeft w:val="446"/>
          <w:marRight w:val="0"/>
          <w:marTop w:val="0"/>
          <w:marBottom w:val="0"/>
          <w:divBdr>
            <w:top w:val="none" w:sz="0" w:space="0" w:color="auto"/>
            <w:left w:val="none" w:sz="0" w:space="0" w:color="auto"/>
            <w:bottom w:val="none" w:sz="0" w:space="0" w:color="auto"/>
            <w:right w:val="none" w:sz="0" w:space="0" w:color="auto"/>
          </w:divBdr>
        </w:div>
        <w:div w:id="786311656">
          <w:marLeft w:val="446"/>
          <w:marRight w:val="0"/>
          <w:marTop w:val="0"/>
          <w:marBottom w:val="0"/>
          <w:divBdr>
            <w:top w:val="none" w:sz="0" w:space="0" w:color="auto"/>
            <w:left w:val="none" w:sz="0" w:space="0" w:color="auto"/>
            <w:bottom w:val="none" w:sz="0" w:space="0" w:color="auto"/>
            <w:right w:val="none" w:sz="0" w:space="0" w:color="auto"/>
          </w:divBdr>
        </w:div>
        <w:div w:id="830364949">
          <w:marLeft w:val="446"/>
          <w:marRight w:val="0"/>
          <w:marTop w:val="0"/>
          <w:marBottom w:val="0"/>
          <w:divBdr>
            <w:top w:val="none" w:sz="0" w:space="0" w:color="auto"/>
            <w:left w:val="none" w:sz="0" w:space="0" w:color="auto"/>
            <w:bottom w:val="none" w:sz="0" w:space="0" w:color="auto"/>
            <w:right w:val="none" w:sz="0" w:space="0" w:color="auto"/>
          </w:divBdr>
        </w:div>
        <w:div w:id="847014477">
          <w:marLeft w:val="446"/>
          <w:marRight w:val="0"/>
          <w:marTop w:val="0"/>
          <w:marBottom w:val="0"/>
          <w:divBdr>
            <w:top w:val="none" w:sz="0" w:space="0" w:color="auto"/>
            <w:left w:val="none" w:sz="0" w:space="0" w:color="auto"/>
            <w:bottom w:val="none" w:sz="0" w:space="0" w:color="auto"/>
            <w:right w:val="none" w:sz="0" w:space="0" w:color="auto"/>
          </w:divBdr>
        </w:div>
        <w:div w:id="870920211">
          <w:marLeft w:val="446"/>
          <w:marRight w:val="0"/>
          <w:marTop w:val="0"/>
          <w:marBottom w:val="0"/>
          <w:divBdr>
            <w:top w:val="none" w:sz="0" w:space="0" w:color="auto"/>
            <w:left w:val="none" w:sz="0" w:space="0" w:color="auto"/>
            <w:bottom w:val="none" w:sz="0" w:space="0" w:color="auto"/>
            <w:right w:val="none" w:sz="0" w:space="0" w:color="auto"/>
          </w:divBdr>
        </w:div>
        <w:div w:id="1161894190">
          <w:marLeft w:val="446"/>
          <w:marRight w:val="0"/>
          <w:marTop w:val="0"/>
          <w:marBottom w:val="0"/>
          <w:divBdr>
            <w:top w:val="none" w:sz="0" w:space="0" w:color="auto"/>
            <w:left w:val="none" w:sz="0" w:space="0" w:color="auto"/>
            <w:bottom w:val="none" w:sz="0" w:space="0" w:color="auto"/>
            <w:right w:val="none" w:sz="0" w:space="0" w:color="auto"/>
          </w:divBdr>
        </w:div>
        <w:div w:id="1188446010">
          <w:marLeft w:val="446"/>
          <w:marRight w:val="0"/>
          <w:marTop w:val="0"/>
          <w:marBottom w:val="0"/>
          <w:divBdr>
            <w:top w:val="none" w:sz="0" w:space="0" w:color="auto"/>
            <w:left w:val="none" w:sz="0" w:space="0" w:color="auto"/>
            <w:bottom w:val="none" w:sz="0" w:space="0" w:color="auto"/>
            <w:right w:val="none" w:sz="0" w:space="0" w:color="auto"/>
          </w:divBdr>
        </w:div>
        <w:div w:id="1210607270">
          <w:marLeft w:val="446"/>
          <w:marRight w:val="0"/>
          <w:marTop w:val="0"/>
          <w:marBottom w:val="0"/>
          <w:divBdr>
            <w:top w:val="none" w:sz="0" w:space="0" w:color="auto"/>
            <w:left w:val="none" w:sz="0" w:space="0" w:color="auto"/>
            <w:bottom w:val="none" w:sz="0" w:space="0" w:color="auto"/>
            <w:right w:val="none" w:sz="0" w:space="0" w:color="auto"/>
          </w:divBdr>
        </w:div>
        <w:div w:id="1427534483">
          <w:marLeft w:val="446"/>
          <w:marRight w:val="0"/>
          <w:marTop w:val="0"/>
          <w:marBottom w:val="0"/>
          <w:divBdr>
            <w:top w:val="none" w:sz="0" w:space="0" w:color="auto"/>
            <w:left w:val="none" w:sz="0" w:space="0" w:color="auto"/>
            <w:bottom w:val="none" w:sz="0" w:space="0" w:color="auto"/>
            <w:right w:val="none" w:sz="0" w:space="0" w:color="auto"/>
          </w:divBdr>
        </w:div>
        <w:div w:id="1448156205">
          <w:marLeft w:val="446"/>
          <w:marRight w:val="0"/>
          <w:marTop w:val="0"/>
          <w:marBottom w:val="0"/>
          <w:divBdr>
            <w:top w:val="none" w:sz="0" w:space="0" w:color="auto"/>
            <w:left w:val="none" w:sz="0" w:space="0" w:color="auto"/>
            <w:bottom w:val="none" w:sz="0" w:space="0" w:color="auto"/>
            <w:right w:val="none" w:sz="0" w:space="0" w:color="auto"/>
          </w:divBdr>
        </w:div>
        <w:div w:id="1674213827">
          <w:marLeft w:val="446"/>
          <w:marRight w:val="0"/>
          <w:marTop w:val="0"/>
          <w:marBottom w:val="0"/>
          <w:divBdr>
            <w:top w:val="none" w:sz="0" w:space="0" w:color="auto"/>
            <w:left w:val="none" w:sz="0" w:space="0" w:color="auto"/>
            <w:bottom w:val="none" w:sz="0" w:space="0" w:color="auto"/>
            <w:right w:val="none" w:sz="0" w:space="0" w:color="auto"/>
          </w:divBdr>
        </w:div>
        <w:div w:id="1679191209">
          <w:marLeft w:val="446"/>
          <w:marRight w:val="0"/>
          <w:marTop w:val="0"/>
          <w:marBottom w:val="0"/>
          <w:divBdr>
            <w:top w:val="none" w:sz="0" w:space="0" w:color="auto"/>
            <w:left w:val="none" w:sz="0" w:space="0" w:color="auto"/>
            <w:bottom w:val="none" w:sz="0" w:space="0" w:color="auto"/>
            <w:right w:val="none" w:sz="0" w:space="0" w:color="auto"/>
          </w:divBdr>
        </w:div>
        <w:div w:id="1710181502">
          <w:marLeft w:val="446"/>
          <w:marRight w:val="0"/>
          <w:marTop w:val="0"/>
          <w:marBottom w:val="0"/>
          <w:divBdr>
            <w:top w:val="none" w:sz="0" w:space="0" w:color="auto"/>
            <w:left w:val="none" w:sz="0" w:space="0" w:color="auto"/>
            <w:bottom w:val="none" w:sz="0" w:space="0" w:color="auto"/>
            <w:right w:val="none" w:sz="0" w:space="0" w:color="auto"/>
          </w:divBdr>
        </w:div>
        <w:div w:id="1819955353">
          <w:marLeft w:val="446"/>
          <w:marRight w:val="0"/>
          <w:marTop w:val="0"/>
          <w:marBottom w:val="0"/>
          <w:divBdr>
            <w:top w:val="none" w:sz="0" w:space="0" w:color="auto"/>
            <w:left w:val="none" w:sz="0" w:space="0" w:color="auto"/>
            <w:bottom w:val="none" w:sz="0" w:space="0" w:color="auto"/>
            <w:right w:val="none" w:sz="0" w:space="0" w:color="auto"/>
          </w:divBdr>
        </w:div>
        <w:div w:id="2102333489">
          <w:marLeft w:val="446"/>
          <w:marRight w:val="0"/>
          <w:marTop w:val="0"/>
          <w:marBottom w:val="0"/>
          <w:divBdr>
            <w:top w:val="none" w:sz="0" w:space="0" w:color="auto"/>
            <w:left w:val="none" w:sz="0" w:space="0" w:color="auto"/>
            <w:bottom w:val="none" w:sz="0" w:space="0" w:color="auto"/>
            <w:right w:val="none" w:sz="0" w:space="0" w:color="auto"/>
          </w:divBdr>
        </w:div>
        <w:div w:id="2136214694">
          <w:marLeft w:val="446"/>
          <w:marRight w:val="0"/>
          <w:marTop w:val="0"/>
          <w:marBottom w:val="0"/>
          <w:divBdr>
            <w:top w:val="none" w:sz="0" w:space="0" w:color="auto"/>
            <w:left w:val="none" w:sz="0" w:space="0" w:color="auto"/>
            <w:bottom w:val="none" w:sz="0" w:space="0" w:color="auto"/>
            <w:right w:val="none" w:sz="0" w:space="0" w:color="auto"/>
          </w:divBdr>
        </w:div>
      </w:divsChild>
    </w:div>
    <w:div w:id="1896549861">
      <w:bodyDiv w:val="1"/>
      <w:marLeft w:val="0"/>
      <w:marRight w:val="0"/>
      <w:marTop w:val="0"/>
      <w:marBottom w:val="0"/>
      <w:divBdr>
        <w:top w:val="none" w:sz="0" w:space="0" w:color="auto"/>
        <w:left w:val="none" w:sz="0" w:space="0" w:color="auto"/>
        <w:bottom w:val="none" w:sz="0" w:space="0" w:color="auto"/>
        <w:right w:val="none" w:sz="0" w:space="0" w:color="auto"/>
      </w:divBdr>
    </w:div>
    <w:div w:id="1934582186">
      <w:bodyDiv w:val="1"/>
      <w:marLeft w:val="0"/>
      <w:marRight w:val="0"/>
      <w:marTop w:val="0"/>
      <w:marBottom w:val="0"/>
      <w:divBdr>
        <w:top w:val="none" w:sz="0" w:space="0" w:color="auto"/>
        <w:left w:val="none" w:sz="0" w:space="0" w:color="auto"/>
        <w:bottom w:val="none" w:sz="0" w:space="0" w:color="auto"/>
        <w:right w:val="none" w:sz="0" w:space="0" w:color="auto"/>
      </w:divBdr>
      <w:divsChild>
        <w:div w:id="39550003">
          <w:marLeft w:val="446"/>
          <w:marRight w:val="0"/>
          <w:marTop w:val="0"/>
          <w:marBottom w:val="120"/>
          <w:divBdr>
            <w:top w:val="none" w:sz="0" w:space="0" w:color="auto"/>
            <w:left w:val="none" w:sz="0" w:space="0" w:color="auto"/>
            <w:bottom w:val="none" w:sz="0" w:space="0" w:color="auto"/>
            <w:right w:val="none" w:sz="0" w:space="0" w:color="auto"/>
          </w:divBdr>
        </w:div>
        <w:div w:id="271589898">
          <w:marLeft w:val="734"/>
          <w:marRight w:val="0"/>
          <w:marTop w:val="0"/>
          <w:marBottom w:val="0"/>
          <w:divBdr>
            <w:top w:val="none" w:sz="0" w:space="0" w:color="auto"/>
            <w:left w:val="none" w:sz="0" w:space="0" w:color="auto"/>
            <w:bottom w:val="none" w:sz="0" w:space="0" w:color="auto"/>
            <w:right w:val="none" w:sz="0" w:space="0" w:color="auto"/>
          </w:divBdr>
        </w:div>
        <w:div w:id="300351861">
          <w:marLeft w:val="734"/>
          <w:marRight w:val="0"/>
          <w:marTop w:val="0"/>
          <w:marBottom w:val="0"/>
          <w:divBdr>
            <w:top w:val="none" w:sz="0" w:space="0" w:color="auto"/>
            <w:left w:val="none" w:sz="0" w:space="0" w:color="auto"/>
            <w:bottom w:val="none" w:sz="0" w:space="0" w:color="auto"/>
            <w:right w:val="none" w:sz="0" w:space="0" w:color="auto"/>
          </w:divBdr>
        </w:div>
        <w:div w:id="513882714">
          <w:marLeft w:val="446"/>
          <w:marRight w:val="0"/>
          <w:marTop w:val="0"/>
          <w:marBottom w:val="120"/>
          <w:divBdr>
            <w:top w:val="none" w:sz="0" w:space="0" w:color="auto"/>
            <w:left w:val="none" w:sz="0" w:space="0" w:color="auto"/>
            <w:bottom w:val="none" w:sz="0" w:space="0" w:color="auto"/>
            <w:right w:val="none" w:sz="0" w:space="0" w:color="auto"/>
          </w:divBdr>
        </w:div>
        <w:div w:id="587422379">
          <w:marLeft w:val="734"/>
          <w:marRight w:val="0"/>
          <w:marTop w:val="0"/>
          <w:marBottom w:val="0"/>
          <w:divBdr>
            <w:top w:val="none" w:sz="0" w:space="0" w:color="auto"/>
            <w:left w:val="none" w:sz="0" w:space="0" w:color="auto"/>
            <w:bottom w:val="none" w:sz="0" w:space="0" w:color="auto"/>
            <w:right w:val="none" w:sz="0" w:space="0" w:color="auto"/>
          </w:divBdr>
        </w:div>
        <w:div w:id="1239092353">
          <w:marLeft w:val="446"/>
          <w:marRight w:val="0"/>
          <w:marTop w:val="0"/>
          <w:marBottom w:val="160"/>
          <w:divBdr>
            <w:top w:val="none" w:sz="0" w:space="0" w:color="auto"/>
            <w:left w:val="none" w:sz="0" w:space="0" w:color="auto"/>
            <w:bottom w:val="none" w:sz="0" w:space="0" w:color="auto"/>
            <w:right w:val="none" w:sz="0" w:space="0" w:color="auto"/>
          </w:divBdr>
        </w:div>
        <w:div w:id="1240022945">
          <w:marLeft w:val="446"/>
          <w:marRight w:val="0"/>
          <w:marTop w:val="0"/>
          <w:marBottom w:val="160"/>
          <w:divBdr>
            <w:top w:val="none" w:sz="0" w:space="0" w:color="auto"/>
            <w:left w:val="none" w:sz="0" w:space="0" w:color="auto"/>
            <w:bottom w:val="none" w:sz="0" w:space="0" w:color="auto"/>
            <w:right w:val="none" w:sz="0" w:space="0" w:color="auto"/>
          </w:divBdr>
        </w:div>
        <w:div w:id="1665474715">
          <w:marLeft w:val="734"/>
          <w:marRight w:val="0"/>
          <w:marTop w:val="0"/>
          <w:marBottom w:val="120"/>
          <w:divBdr>
            <w:top w:val="none" w:sz="0" w:space="0" w:color="auto"/>
            <w:left w:val="none" w:sz="0" w:space="0" w:color="auto"/>
            <w:bottom w:val="none" w:sz="0" w:space="0" w:color="auto"/>
            <w:right w:val="none" w:sz="0" w:space="0" w:color="auto"/>
          </w:divBdr>
        </w:div>
        <w:div w:id="1694762381">
          <w:marLeft w:val="734"/>
          <w:marRight w:val="0"/>
          <w:marTop w:val="0"/>
          <w:marBottom w:val="0"/>
          <w:divBdr>
            <w:top w:val="none" w:sz="0" w:space="0" w:color="auto"/>
            <w:left w:val="none" w:sz="0" w:space="0" w:color="auto"/>
            <w:bottom w:val="none" w:sz="0" w:space="0" w:color="auto"/>
            <w:right w:val="none" w:sz="0" w:space="0" w:color="auto"/>
          </w:divBdr>
        </w:div>
        <w:div w:id="1895576123">
          <w:marLeft w:val="446"/>
          <w:marRight w:val="0"/>
          <w:marTop w:val="0"/>
          <w:marBottom w:val="120"/>
          <w:divBdr>
            <w:top w:val="none" w:sz="0" w:space="0" w:color="auto"/>
            <w:left w:val="none" w:sz="0" w:space="0" w:color="auto"/>
            <w:bottom w:val="none" w:sz="0" w:space="0" w:color="auto"/>
            <w:right w:val="none" w:sz="0" w:space="0" w:color="auto"/>
          </w:divBdr>
        </w:div>
      </w:divsChild>
    </w:div>
    <w:div w:id="2010911791">
      <w:bodyDiv w:val="1"/>
      <w:marLeft w:val="0"/>
      <w:marRight w:val="0"/>
      <w:marTop w:val="0"/>
      <w:marBottom w:val="0"/>
      <w:divBdr>
        <w:top w:val="none" w:sz="0" w:space="0" w:color="auto"/>
        <w:left w:val="none" w:sz="0" w:space="0" w:color="auto"/>
        <w:bottom w:val="none" w:sz="0" w:space="0" w:color="auto"/>
        <w:right w:val="none" w:sz="0" w:space="0" w:color="auto"/>
      </w:divBdr>
    </w:div>
    <w:div w:id="2025589578">
      <w:bodyDiv w:val="1"/>
      <w:marLeft w:val="0"/>
      <w:marRight w:val="0"/>
      <w:marTop w:val="0"/>
      <w:marBottom w:val="0"/>
      <w:divBdr>
        <w:top w:val="none" w:sz="0" w:space="0" w:color="auto"/>
        <w:left w:val="none" w:sz="0" w:space="0" w:color="auto"/>
        <w:bottom w:val="none" w:sz="0" w:space="0" w:color="auto"/>
        <w:right w:val="none" w:sz="0" w:space="0" w:color="auto"/>
      </w:divBdr>
    </w:div>
    <w:div w:id="2065444459">
      <w:bodyDiv w:val="1"/>
      <w:marLeft w:val="0"/>
      <w:marRight w:val="0"/>
      <w:marTop w:val="0"/>
      <w:marBottom w:val="0"/>
      <w:divBdr>
        <w:top w:val="none" w:sz="0" w:space="0" w:color="auto"/>
        <w:left w:val="none" w:sz="0" w:space="0" w:color="auto"/>
        <w:bottom w:val="none" w:sz="0" w:space="0" w:color="auto"/>
        <w:right w:val="none" w:sz="0" w:space="0" w:color="auto"/>
      </w:divBdr>
      <w:divsChild>
        <w:div w:id="81224452">
          <w:marLeft w:val="547"/>
          <w:marRight w:val="0"/>
          <w:marTop w:val="0"/>
          <w:marBottom w:val="0"/>
          <w:divBdr>
            <w:top w:val="none" w:sz="0" w:space="0" w:color="auto"/>
            <w:left w:val="none" w:sz="0" w:space="0" w:color="auto"/>
            <w:bottom w:val="none" w:sz="0" w:space="0" w:color="auto"/>
            <w:right w:val="none" w:sz="0" w:space="0" w:color="auto"/>
          </w:divBdr>
        </w:div>
        <w:div w:id="1091194834">
          <w:marLeft w:val="547"/>
          <w:marRight w:val="0"/>
          <w:marTop w:val="0"/>
          <w:marBottom w:val="0"/>
          <w:divBdr>
            <w:top w:val="none" w:sz="0" w:space="0" w:color="auto"/>
            <w:left w:val="none" w:sz="0" w:space="0" w:color="auto"/>
            <w:bottom w:val="none" w:sz="0" w:space="0" w:color="auto"/>
            <w:right w:val="none" w:sz="0" w:space="0" w:color="auto"/>
          </w:divBdr>
        </w:div>
        <w:div w:id="1422290013">
          <w:marLeft w:val="547"/>
          <w:marRight w:val="0"/>
          <w:marTop w:val="0"/>
          <w:marBottom w:val="0"/>
          <w:divBdr>
            <w:top w:val="none" w:sz="0" w:space="0" w:color="auto"/>
            <w:left w:val="none" w:sz="0" w:space="0" w:color="auto"/>
            <w:bottom w:val="none" w:sz="0" w:space="0" w:color="auto"/>
            <w:right w:val="none" w:sz="0" w:space="0" w:color="auto"/>
          </w:divBdr>
        </w:div>
      </w:divsChild>
    </w:div>
    <w:div w:id="2081055292">
      <w:bodyDiv w:val="1"/>
      <w:marLeft w:val="0"/>
      <w:marRight w:val="0"/>
      <w:marTop w:val="0"/>
      <w:marBottom w:val="0"/>
      <w:divBdr>
        <w:top w:val="none" w:sz="0" w:space="0" w:color="auto"/>
        <w:left w:val="none" w:sz="0" w:space="0" w:color="auto"/>
        <w:bottom w:val="none" w:sz="0" w:space="0" w:color="auto"/>
        <w:right w:val="none" w:sz="0" w:space="0" w:color="auto"/>
      </w:divBdr>
    </w:div>
    <w:div w:id="2096857029">
      <w:bodyDiv w:val="1"/>
      <w:marLeft w:val="0"/>
      <w:marRight w:val="0"/>
      <w:marTop w:val="0"/>
      <w:marBottom w:val="0"/>
      <w:divBdr>
        <w:top w:val="none" w:sz="0" w:space="0" w:color="auto"/>
        <w:left w:val="none" w:sz="0" w:space="0" w:color="auto"/>
        <w:bottom w:val="none" w:sz="0" w:space="0" w:color="auto"/>
        <w:right w:val="none" w:sz="0" w:space="0" w:color="auto"/>
      </w:divBdr>
      <w:divsChild>
        <w:div w:id="27991669">
          <w:marLeft w:val="734"/>
          <w:marRight w:val="0"/>
          <w:marTop w:val="0"/>
          <w:marBottom w:val="120"/>
          <w:divBdr>
            <w:top w:val="none" w:sz="0" w:space="0" w:color="auto"/>
            <w:left w:val="none" w:sz="0" w:space="0" w:color="auto"/>
            <w:bottom w:val="none" w:sz="0" w:space="0" w:color="auto"/>
            <w:right w:val="none" w:sz="0" w:space="0" w:color="auto"/>
          </w:divBdr>
        </w:div>
        <w:div w:id="272327248">
          <w:marLeft w:val="734"/>
          <w:marRight w:val="0"/>
          <w:marTop w:val="0"/>
          <w:marBottom w:val="120"/>
          <w:divBdr>
            <w:top w:val="none" w:sz="0" w:space="0" w:color="auto"/>
            <w:left w:val="none" w:sz="0" w:space="0" w:color="auto"/>
            <w:bottom w:val="none" w:sz="0" w:space="0" w:color="auto"/>
            <w:right w:val="none" w:sz="0" w:space="0" w:color="auto"/>
          </w:divBdr>
        </w:div>
        <w:div w:id="705715162">
          <w:marLeft w:val="734"/>
          <w:marRight w:val="0"/>
          <w:marTop w:val="0"/>
          <w:marBottom w:val="120"/>
          <w:divBdr>
            <w:top w:val="none" w:sz="0" w:space="0" w:color="auto"/>
            <w:left w:val="none" w:sz="0" w:space="0" w:color="auto"/>
            <w:bottom w:val="none" w:sz="0" w:space="0" w:color="auto"/>
            <w:right w:val="none" w:sz="0" w:space="0" w:color="auto"/>
          </w:divBdr>
        </w:div>
        <w:div w:id="887692819">
          <w:marLeft w:val="446"/>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s://www.gov.uk/government/publications/community-champions-programme-guidance-and-resources/community-champions-programme-guidance-and-resources" TargetMode="External" Id="rId18" /><Relationship Type="http://schemas.openxmlformats.org/officeDocument/2006/relationships/hyperlink" Target="https://www.tnlcommunityfund.org.uk/funding/thinking-of-applying-for-funding/who-can-apply/voluntary-community-and-social-enterprise-vcse-definition" TargetMode="External" Id="rId26" /><Relationship Type="http://schemas.openxmlformats.org/officeDocument/2006/relationships/header" Target="header10.xml" Id="rId39" /><Relationship Type="http://schemas.openxmlformats.org/officeDocument/2006/relationships/hyperlink" Target="https://www.gov.uk/government/statistics/quality-and-outcomes-framework-achievement-prevalence-and-exceptions-data-2021-22" TargetMode="External" Id="rId21" /><Relationship Type="http://schemas.openxmlformats.org/officeDocument/2006/relationships/header" Target="header7.xml" Id="rId34" /><Relationship Type="http://schemas.openxmlformats.org/officeDocument/2006/relationships/footer" Target="footer9.xml" Id="rId42" /><Relationship Type="http://schemas.openxmlformats.org/officeDocument/2006/relationships/header" Target="header15.xml" Id="rId47" /><Relationship Type="http://schemas.openxmlformats.org/officeDocument/2006/relationships/fontTable" Target="fontTable.xml" Id="rId50"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eader" Target="header5.xml" Id="rId29" /><Relationship Type="http://schemas.openxmlformats.org/officeDocument/2006/relationships/header" Target="header1.xml" Id="rId11" /><Relationship Type="http://schemas.openxmlformats.org/officeDocument/2006/relationships/hyperlink" Target="https://digital.nhs.uk/data-and-information/publications/statistical/quality-and-outcomes-framework-achievement-prevalence-and-exceptions-data/2021-22" TargetMode="External" Id="rId24" /><Relationship Type="http://schemas.openxmlformats.org/officeDocument/2006/relationships/header" Target="header6.xml" Id="rId32" /><Relationship Type="http://schemas.openxmlformats.org/officeDocument/2006/relationships/footer" Target="footer7.xml" Id="rId37" /><Relationship Type="http://schemas.openxmlformats.org/officeDocument/2006/relationships/header" Target="header11.xml" Id="rId40" /><Relationship Type="http://schemas.openxmlformats.org/officeDocument/2006/relationships/header" Target="header14.xml" Id="rId45"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yperlink" Target="https://kib.ki.se/en/search-evaluate/systematic-reviews/press-2015-checklist-search-strategies" TargetMode="External" Id="rId23" /><Relationship Type="http://schemas.openxmlformats.org/officeDocument/2006/relationships/header" Target="header4.xml" Id="rId28" /><Relationship Type="http://schemas.openxmlformats.org/officeDocument/2006/relationships/footer" Target="footer6.xml" Id="rId36" /><Relationship Type="http://schemas.openxmlformats.org/officeDocument/2006/relationships/footer" Target="footer12.xml" Id="rId49" /><Relationship Type="http://schemas.openxmlformats.org/officeDocument/2006/relationships/endnotes" Target="endnotes.xml" Id="rId10" /><Relationship Type="http://schemas.openxmlformats.org/officeDocument/2006/relationships/hyperlink" Target="https://bestpractice.bmj.com/info/toolkit/learn-ebm/what-is-grade/" TargetMode="External" Id="rId19" /><Relationship Type="http://schemas.openxmlformats.org/officeDocument/2006/relationships/footer" Target="footer5.xml" Id="rId31" /><Relationship Type="http://schemas.openxmlformats.org/officeDocument/2006/relationships/header" Target="header13.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bmcpublichealth.biomedcentral.com/articles/10.1186/s12889-021-12373-5" TargetMode="External" Id="rId22" /><Relationship Type="http://schemas.openxmlformats.org/officeDocument/2006/relationships/hyperlink" Target="https://www.health.org.uk/publications/reports/the-marmot-review-10-years-on" TargetMode="External" Id="rId27" /><Relationship Type="http://schemas.openxmlformats.org/officeDocument/2006/relationships/footer" Target="footer4.xml" Id="rId30" /><Relationship Type="http://schemas.openxmlformats.org/officeDocument/2006/relationships/header" Target="header8.xml" Id="rId35" /><Relationship Type="http://schemas.openxmlformats.org/officeDocument/2006/relationships/header" Target="header12.xml" Id="rId43" /><Relationship Type="http://schemas.openxmlformats.org/officeDocument/2006/relationships/footer" Target="footer11.xml" Id="rId48" /><Relationship Type="http://schemas.openxmlformats.org/officeDocument/2006/relationships/webSettings" Target="webSettings.xml" Id="rId8" /><Relationship Type="http://schemas.openxmlformats.org/officeDocument/2006/relationships/theme" Target="theme/theme1.xml" Id="rId51" /><Relationship Type="http://schemas.openxmlformats.org/officeDocument/2006/relationships/customXml" Target="../customXml/item3.xml" Id="rId3" /><Relationship Type="http://schemas.openxmlformats.org/officeDocument/2006/relationships/header" Target="header2.xml" Id="rId12" /><Relationship Type="http://schemas.openxmlformats.org/officeDocument/2006/relationships/hyperlink" Target="https://www.kingsfund.org.uk/publications/anchor-institutions-and-peoples-health" TargetMode="External" Id="rId17" /><Relationship Type="http://schemas.openxmlformats.org/officeDocument/2006/relationships/hyperlink" Target="https://www.gov.uk/government/publications/health-profile-for-england-2018/methods-data-and-definitions" TargetMode="External" Id="rId25" /><Relationship Type="http://schemas.openxmlformats.org/officeDocument/2006/relationships/image" Target="media/image3.png" Id="rId33" /><Relationship Type="http://schemas.openxmlformats.org/officeDocument/2006/relationships/header" Target="header9.xml" Id="rId38" /><Relationship Type="http://schemas.openxmlformats.org/officeDocument/2006/relationships/footer" Target="footer10.xml" Id="rId46" /><Relationship Type="http://schemas.openxmlformats.org/officeDocument/2006/relationships/hyperlink" Target="https://www.england.nhs.uk/integratedcare/what-is-integrated-care/" TargetMode="External" Id="rId20" /><Relationship Type="http://schemas.openxmlformats.org/officeDocument/2006/relationships/footer" Target="footer8.xml" Id="rId41" /><Relationship Type="http://schemas.openxmlformats.org/officeDocument/2006/relationships/customXml" Target="../customXml/item1.xml" Id="rId1" /><Relationship Type="http://schemas.openxmlformats.org/officeDocument/2006/relationships/styles" Target="styles.xml" Id="rId6" /></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bestpractice.bmj.com/info/toolkit/learn-ebm/what-is-grade/" TargetMode="External"/><Relationship Id="rId2" Type="http://schemas.openxmlformats.org/officeDocument/2006/relationships/hyperlink" Target="https://amstar.ca/Amstar_Checklist.php" TargetMode="External"/><Relationship Id="rId1" Type="http://schemas.openxmlformats.org/officeDocument/2006/relationships/hyperlink" Target="https://kib.ki.se/en/search-evaluate/systematic-reviews/press-2015-checklist-search-strategies" TargetMode="External"/><Relationship Id="rId4" Type="http://schemas.openxmlformats.org/officeDocument/2006/relationships/hyperlink" Target="https://www.nccmt.ca/knowledge-repositories/search/2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H1\RSMTemplates\RSM%20Proposal%20v4.dotm" TargetMode="External"/></Relationships>
</file>

<file path=word/theme/theme1.xml><?xml version="1.0" encoding="utf-8"?>
<a:theme xmlns:a="http://schemas.openxmlformats.org/drawingml/2006/main" name="Office Theme">
  <a:themeElements>
    <a:clrScheme name="RSM Colour Palette">
      <a:dk1>
        <a:srgbClr val="63666A"/>
      </a:dk1>
      <a:lt1>
        <a:sysClr val="window" lastClr="FFFFFF"/>
      </a:lt1>
      <a:dk2>
        <a:srgbClr val="009CDE"/>
      </a:dk2>
      <a:lt2>
        <a:srgbClr val="3F9C35"/>
      </a:lt2>
      <a:accent1>
        <a:srgbClr val="009CDE"/>
      </a:accent1>
      <a:accent2>
        <a:srgbClr val="3F9C35"/>
      </a:accent2>
      <a:accent3>
        <a:srgbClr val="888B8D"/>
      </a:accent3>
      <a:accent4>
        <a:srgbClr val="34A798"/>
      </a:accent4>
      <a:accent5>
        <a:srgbClr val="9F5CC0"/>
      </a:accent5>
      <a:accent6>
        <a:srgbClr val="F1B434"/>
      </a:accent6>
      <a:hlink>
        <a:srgbClr val="009CDE"/>
      </a:hlink>
      <a:folHlink>
        <a:srgbClr val="3F9C3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6" ma:contentTypeDescription="Create a new document." ma:contentTypeScope="" ma:versionID="3bfe2d2a786b470df492bcde35803736">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5057f65dd4ddd4671879ad446cc5f433"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6a46f7e-96a6-4430-b8e8-8898249e1dfd}"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d162527-c308-4a98-98b8-9e726c57dd8b" xsi:nil="true"/>
    <lcf76f155ced4ddcb4097134ff3c332f xmlns="c497441b-d3fe-4788-8629-aff52d38f515">
      <Terms xmlns="http://schemas.microsoft.com/office/infopath/2007/PartnerControls"/>
    </lcf76f155ced4ddcb4097134ff3c332f>
    <SharedWithUsers xmlns="1d162527-c308-4a98-98b8-9e726c57dd8b">
      <UserInfo>
        <DisplayName>Watson, David</DisplayName>
        <AccountId>92</AccountId>
        <AccountType/>
      </UserInfo>
      <UserInfo>
        <DisplayName>SEHC</DisplayName>
        <AccountId>151</AccountId>
        <AccountType/>
      </UserInfo>
      <UserInfo>
        <DisplayName>Davies, Melissa</DisplayName>
        <AccountId>860</AccountId>
        <AccountType/>
      </UserInfo>
      <UserInfo>
        <DisplayName>SharingLinks.97bac4a3-7e46-4add-9c2b-1be1ac9ba033.OrganizationEdit.81355819-05b5-4cc0-8cc3-56f8291d61bc</DisplayName>
        <AccountId>2544</AccountId>
        <AccountType/>
      </UserInfo>
      <UserInfo>
        <DisplayName>Evans, Nikki</DisplayName>
        <AccountId>547</AccountId>
        <AccountType/>
      </UserInfo>
      <UserInfo>
        <DisplayName>Breeze, Kathryn</DisplayName>
        <AccountId>50</AccountId>
        <AccountType/>
      </UserInfo>
      <UserInfo>
        <DisplayName>Simpson, Mat</DisplayName>
        <AccountId>1337</AccountId>
        <AccountType/>
      </UserInfo>
      <UserInfo>
        <DisplayName>Cowley-Beadman, Sarah</DisplayName>
        <AccountId>1848</AccountId>
        <AccountType/>
      </UserInfo>
      <UserInfo>
        <DisplayName>Foster, Catherine</DisplayName>
        <AccountId>3810</AccountId>
        <AccountType/>
      </UserInfo>
      <UserInfo>
        <DisplayName>Buggy, Liadan</DisplayName>
        <AccountId>4199</AccountId>
        <AccountType/>
      </UserInfo>
    </SharedWithUsers>
  </documentManagement>
</p:properties>
</file>

<file path=customXml/itemProps1.xml><?xml version="1.0" encoding="utf-8"?>
<ds:datastoreItem xmlns:ds="http://schemas.openxmlformats.org/officeDocument/2006/customXml" ds:itemID="{5727BE6A-1BC8-40B1-B1A7-D88FFFA19D20}">
  <ds:schemaRefs>
    <ds:schemaRef ds:uri="http://schemas.microsoft.com/sharepoint/v3/contenttype/forms"/>
  </ds:schemaRefs>
</ds:datastoreItem>
</file>

<file path=customXml/itemProps2.xml><?xml version="1.0" encoding="utf-8"?>
<ds:datastoreItem xmlns:ds="http://schemas.openxmlformats.org/officeDocument/2006/customXml" ds:itemID="{A0C14608-304C-4D31-9866-70FA1B925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31A5D9-94DF-481A-B095-A60DDEA0C4FD}">
  <ds:schemaRefs>
    <ds:schemaRef ds:uri="http://schemas.openxmlformats.org/officeDocument/2006/bibliography"/>
  </ds:schemaRefs>
</ds:datastoreItem>
</file>

<file path=customXml/itemProps4.xml><?xml version="1.0" encoding="utf-8"?>
<ds:datastoreItem xmlns:ds="http://schemas.openxmlformats.org/officeDocument/2006/customXml" ds:itemID="{DF14F4E8-96D1-4FE0-AF5A-CA9625094209}">
  <ds:schemaRefs>
    <ds:schemaRef ds:uri="http://schemas.microsoft.com/office/2006/metadata/properties"/>
    <ds:schemaRef ds:uri="http://schemas.microsoft.com/office/infopath/2007/PartnerControls"/>
    <ds:schemaRef ds:uri="1d162527-c308-4a98-98b8-9e726c57dd8b"/>
    <ds:schemaRef ds:uri="c497441b-d3fe-4788-8629-aff52d38f51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RSM%20Proposal%20v4.dotm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Sheridan</dc:creator>
  <cp:keywords/>
  <dc:description/>
  <cp:lastModifiedBy>Buggy, Liadan</cp:lastModifiedBy>
  <cp:revision>4</cp:revision>
  <cp:lastPrinted>2017-07-22T09:55:00Z</cp:lastPrinted>
  <dcterms:created xsi:type="dcterms:W3CDTF">2023-11-14T09:22:00Z</dcterms:created>
  <dcterms:modified xsi:type="dcterms:W3CDTF">2023-11-24T13:36:55Z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RSM Proposal v4</vt:lpwstr>
  </property>
  <property fmtid="{D5CDD505-2E9C-101B-9397-08002B2CF9AE}" pid="3" name="GrammarlyDocumentId">
    <vt:lpwstr>34d1aad4071e9cd6349ae68e9ca3fd7511b42e90dc197e520594a45854e916f4</vt:lpwstr>
  </property>
  <property fmtid="{D5CDD505-2E9C-101B-9397-08002B2CF9AE}" pid="4" name="MediaServiceImageTags">
    <vt:lpwstr/>
  </property>
  <property fmtid="{D5CDD505-2E9C-101B-9397-08002B2CF9AE}" pid="5" name="ContentTypeId">
    <vt:lpwstr>0x010100480EA4E9A0D10A4B86B174D08978D5EB</vt:lpwstr>
  </property>
</Properties>
</file>